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9C6" w:rsidRDefault="00905E8B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Tiszavasvári Város Önkormányzata Képviselő-testületének 25/2021. (XII. 17.) önkormányzati rendelete</w:t>
      </w:r>
    </w:p>
    <w:p w:rsidR="003619C6" w:rsidRDefault="00905E8B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Az Önkormányzat vagyonáról és a vagyongazdálkodás szabályairól szóló 31/2013.(X.25.) önkormányzati rendelet módosításáról</w:t>
      </w:r>
    </w:p>
    <w:p w:rsidR="003619C6" w:rsidRDefault="00905E8B">
      <w:pPr>
        <w:pStyle w:val="Szvegtrzs"/>
        <w:spacing w:before="220" w:after="0" w:line="240" w:lineRule="auto"/>
        <w:jc w:val="both"/>
      </w:pPr>
      <w:r>
        <w:t xml:space="preserve">Az Alaptörvény 32. cikk (1) </w:t>
      </w:r>
      <w:r>
        <w:t>bekezdés a) pontjában, valamint a Magyarország helyi önkormányzatairól szóló 2011. évi CLXXXIX. törvény 107. §</w:t>
      </w:r>
      <w:proofErr w:type="spellStart"/>
      <w:r>
        <w:t>-ában</w:t>
      </w:r>
      <w:proofErr w:type="spellEnd"/>
      <w:r>
        <w:t xml:space="preserve"> meghatározott feladatkörében eljárva- a Szervezeti és Működési Szabályzatról szóló 1/2019. (II.1.) önkormányzati rendelet 4. melléklet 1. 24</w:t>
      </w:r>
      <w:r>
        <w:t>. pontja által biztosított véleményezési jogkörében illetékes Pénzügyi és Ügyrendi Bizottság véleményének kikérésével – a következőket rendeli el:</w:t>
      </w:r>
    </w:p>
    <w:p w:rsidR="003619C6" w:rsidRDefault="00905E8B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3619C6" w:rsidRDefault="00905E8B">
      <w:pPr>
        <w:pStyle w:val="Szvegtrzs"/>
        <w:spacing w:after="0" w:line="240" w:lineRule="auto"/>
        <w:jc w:val="both"/>
      </w:pPr>
      <w:r>
        <w:t>Az önkormányzat vagyonáról és a vagyongazdálkodás szabályairól szóló 31/2013. (X.25.) önkormányzati rend</w:t>
      </w:r>
      <w:r>
        <w:t>elet 4. melléklete az 1. melléklet szerint módosul.</w:t>
      </w:r>
    </w:p>
    <w:p w:rsidR="003619C6" w:rsidRDefault="00905E8B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3619C6" w:rsidRDefault="00905E8B">
      <w:pPr>
        <w:pStyle w:val="Szvegtrzs"/>
        <w:spacing w:after="0" w:line="240" w:lineRule="auto"/>
        <w:jc w:val="both"/>
      </w:pPr>
      <w:r>
        <w:t>Hatályát veszti az önkormányzat vagyonáról és a vagyongazdálkodás szabályairól szóló 31/2013. (X.25.) önkormányzati rendelet 3. mellékletében foglalt táblázat 11. sora.</w:t>
      </w:r>
    </w:p>
    <w:p w:rsidR="003619C6" w:rsidRDefault="00905E8B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733D8F" w:rsidRDefault="00905E8B">
      <w:pPr>
        <w:pStyle w:val="Szvegtrzs"/>
        <w:spacing w:after="0" w:line="240" w:lineRule="auto"/>
        <w:jc w:val="both"/>
      </w:pPr>
      <w:r>
        <w:t>Ez a rendelet 2021. decem</w:t>
      </w:r>
      <w:r>
        <w:t>ber 20-án lép hatályba.</w:t>
      </w:r>
    </w:p>
    <w:p w:rsidR="00733D8F" w:rsidRDefault="00733D8F">
      <w:pPr>
        <w:pStyle w:val="Szvegtrzs"/>
        <w:spacing w:after="0" w:line="240" w:lineRule="auto"/>
        <w:jc w:val="both"/>
      </w:pPr>
    </w:p>
    <w:p w:rsidR="00733D8F" w:rsidRDefault="00733D8F">
      <w:pPr>
        <w:pStyle w:val="Szvegtrzs"/>
        <w:spacing w:after="0" w:line="240" w:lineRule="auto"/>
        <w:jc w:val="both"/>
      </w:pPr>
    </w:p>
    <w:p w:rsidR="00733D8F" w:rsidRPr="00733D8F" w:rsidRDefault="00733D8F" w:rsidP="00733D8F">
      <w:pPr>
        <w:suppressAutoHyphens w:val="0"/>
        <w:jc w:val="both"/>
        <w:rPr>
          <w:rFonts w:eastAsia="Times New Roman" w:cs="Times New Roman"/>
          <w:kern w:val="0"/>
          <w:sz w:val="23"/>
          <w:szCs w:val="23"/>
          <w:lang w:eastAsia="hu-HU" w:bidi="ar-SA"/>
        </w:rPr>
      </w:pPr>
      <w:r w:rsidRPr="00733D8F">
        <w:rPr>
          <w:rFonts w:eastAsia="Times New Roman" w:cs="Times New Roman"/>
          <w:kern w:val="0"/>
          <w:sz w:val="23"/>
          <w:szCs w:val="23"/>
          <w:lang w:eastAsia="hu-HU" w:bidi="ar-SA"/>
        </w:rPr>
        <w:t>Tiszavasvári, 2021. december 16.</w:t>
      </w:r>
    </w:p>
    <w:p w:rsidR="00733D8F" w:rsidRPr="00733D8F" w:rsidRDefault="00733D8F" w:rsidP="00733D8F">
      <w:pPr>
        <w:suppressAutoHyphens w:val="0"/>
        <w:jc w:val="both"/>
        <w:rPr>
          <w:rFonts w:eastAsia="Times New Roman" w:cs="Times New Roman"/>
          <w:kern w:val="0"/>
          <w:sz w:val="23"/>
          <w:szCs w:val="23"/>
          <w:lang w:eastAsia="hu-HU" w:bidi="ar-SA"/>
        </w:rPr>
      </w:pPr>
    </w:p>
    <w:p w:rsidR="00733D8F" w:rsidRPr="00733D8F" w:rsidRDefault="00733D8F" w:rsidP="00733D8F">
      <w:pPr>
        <w:suppressAutoHyphens w:val="0"/>
        <w:jc w:val="both"/>
        <w:rPr>
          <w:rFonts w:eastAsia="Times New Roman" w:cs="Times New Roman"/>
          <w:kern w:val="0"/>
          <w:sz w:val="23"/>
          <w:szCs w:val="23"/>
          <w:lang w:eastAsia="hu-HU" w:bidi="ar-SA"/>
        </w:rPr>
      </w:pPr>
    </w:p>
    <w:p w:rsidR="00733D8F" w:rsidRPr="00733D8F" w:rsidRDefault="00733D8F" w:rsidP="00733D8F">
      <w:pPr>
        <w:suppressAutoHyphens w:val="0"/>
        <w:jc w:val="both"/>
        <w:rPr>
          <w:rFonts w:eastAsia="Times New Roman" w:cs="Times New Roman"/>
          <w:b/>
          <w:kern w:val="0"/>
          <w:sz w:val="23"/>
          <w:szCs w:val="23"/>
          <w:lang w:eastAsia="hu-HU" w:bidi="ar-SA"/>
        </w:rPr>
      </w:pPr>
    </w:p>
    <w:p w:rsidR="00733D8F" w:rsidRPr="00733D8F" w:rsidRDefault="00733D8F" w:rsidP="00733D8F">
      <w:pPr>
        <w:tabs>
          <w:tab w:val="center" w:pos="1418"/>
          <w:tab w:val="center" w:pos="6804"/>
        </w:tabs>
        <w:suppressAutoHyphens w:val="0"/>
        <w:jc w:val="both"/>
        <w:rPr>
          <w:rFonts w:eastAsia="Times New Roman" w:cs="Times New Roman"/>
          <w:b/>
          <w:kern w:val="0"/>
          <w:sz w:val="23"/>
          <w:szCs w:val="23"/>
          <w:lang w:eastAsia="hu-HU" w:bidi="ar-SA"/>
        </w:rPr>
      </w:pPr>
      <w:r w:rsidRPr="00733D8F">
        <w:rPr>
          <w:rFonts w:eastAsia="Times New Roman" w:cs="Times New Roman"/>
          <w:b/>
          <w:kern w:val="0"/>
          <w:sz w:val="23"/>
          <w:szCs w:val="23"/>
          <w:lang w:eastAsia="hu-HU" w:bidi="ar-SA"/>
        </w:rPr>
        <w:tab/>
        <w:t>Szőke Zoltán</w:t>
      </w:r>
      <w:r w:rsidRPr="00733D8F">
        <w:rPr>
          <w:rFonts w:eastAsia="Times New Roman" w:cs="Times New Roman"/>
          <w:b/>
          <w:kern w:val="0"/>
          <w:sz w:val="23"/>
          <w:szCs w:val="23"/>
          <w:lang w:eastAsia="hu-HU" w:bidi="ar-SA"/>
        </w:rPr>
        <w:tab/>
        <w:t xml:space="preserve"> dr. </w:t>
      </w:r>
      <w:proofErr w:type="spellStart"/>
      <w:r w:rsidRPr="00733D8F">
        <w:rPr>
          <w:rFonts w:eastAsia="Times New Roman" w:cs="Times New Roman"/>
          <w:b/>
          <w:kern w:val="0"/>
          <w:sz w:val="23"/>
          <w:szCs w:val="23"/>
          <w:lang w:eastAsia="hu-HU" w:bidi="ar-SA"/>
        </w:rPr>
        <w:t>Kórik</w:t>
      </w:r>
      <w:proofErr w:type="spellEnd"/>
      <w:r w:rsidRPr="00733D8F">
        <w:rPr>
          <w:rFonts w:eastAsia="Times New Roman" w:cs="Times New Roman"/>
          <w:b/>
          <w:kern w:val="0"/>
          <w:sz w:val="23"/>
          <w:szCs w:val="23"/>
          <w:lang w:eastAsia="hu-HU" w:bidi="ar-SA"/>
        </w:rPr>
        <w:t xml:space="preserve"> Zsuzsanna</w:t>
      </w:r>
    </w:p>
    <w:p w:rsidR="00733D8F" w:rsidRPr="00733D8F" w:rsidRDefault="00733D8F" w:rsidP="00733D8F">
      <w:pPr>
        <w:tabs>
          <w:tab w:val="center" w:pos="1418"/>
          <w:tab w:val="center" w:pos="6804"/>
        </w:tabs>
        <w:suppressAutoHyphens w:val="0"/>
        <w:jc w:val="both"/>
        <w:rPr>
          <w:rFonts w:eastAsia="Times New Roman" w:cs="Times New Roman"/>
          <w:b/>
          <w:kern w:val="0"/>
          <w:sz w:val="23"/>
          <w:szCs w:val="23"/>
          <w:lang w:eastAsia="hu-HU" w:bidi="ar-SA"/>
        </w:rPr>
      </w:pPr>
      <w:r w:rsidRPr="00733D8F">
        <w:rPr>
          <w:rFonts w:eastAsia="Times New Roman" w:cs="Times New Roman"/>
          <w:b/>
          <w:kern w:val="0"/>
          <w:sz w:val="23"/>
          <w:szCs w:val="23"/>
          <w:lang w:eastAsia="hu-HU" w:bidi="ar-SA"/>
        </w:rPr>
        <w:t xml:space="preserve">  </w:t>
      </w:r>
      <w:r w:rsidRPr="00733D8F">
        <w:rPr>
          <w:rFonts w:eastAsia="Times New Roman" w:cs="Times New Roman"/>
          <w:b/>
          <w:kern w:val="0"/>
          <w:sz w:val="23"/>
          <w:szCs w:val="23"/>
          <w:lang w:eastAsia="hu-HU" w:bidi="ar-SA"/>
        </w:rPr>
        <w:tab/>
      </w:r>
      <w:proofErr w:type="gramStart"/>
      <w:r w:rsidRPr="00733D8F">
        <w:rPr>
          <w:rFonts w:eastAsia="Times New Roman" w:cs="Times New Roman"/>
          <w:b/>
          <w:kern w:val="0"/>
          <w:sz w:val="23"/>
          <w:szCs w:val="23"/>
          <w:lang w:eastAsia="hu-HU" w:bidi="ar-SA"/>
        </w:rPr>
        <w:t>polgármester</w:t>
      </w:r>
      <w:proofErr w:type="gramEnd"/>
      <w:r w:rsidRPr="00733D8F">
        <w:rPr>
          <w:rFonts w:eastAsia="Times New Roman" w:cs="Times New Roman"/>
          <w:b/>
          <w:kern w:val="0"/>
          <w:sz w:val="23"/>
          <w:szCs w:val="23"/>
          <w:lang w:eastAsia="hu-HU" w:bidi="ar-SA"/>
        </w:rPr>
        <w:t xml:space="preserve"> </w:t>
      </w:r>
      <w:r w:rsidRPr="00733D8F">
        <w:rPr>
          <w:rFonts w:eastAsia="Times New Roman" w:cs="Times New Roman"/>
          <w:b/>
          <w:kern w:val="0"/>
          <w:sz w:val="23"/>
          <w:szCs w:val="23"/>
          <w:lang w:eastAsia="hu-HU" w:bidi="ar-SA"/>
        </w:rPr>
        <w:tab/>
        <w:t xml:space="preserve"> jegyző</w:t>
      </w:r>
    </w:p>
    <w:p w:rsidR="00733D8F" w:rsidRPr="00733D8F" w:rsidRDefault="00733D8F" w:rsidP="00733D8F">
      <w:pPr>
        <w:tabs>
          <w:tab w:val="left" w:pos="567"/>
          <w:tab w:val="left" w:pos="5954"/>
          <w:tab w:val="left" w:pos="6663"/>
        </w:tabs>
        <w:suppressAutoHyphens w:val="0"/>
        <w:rPr>
          <w:rFonts w:eastAsia="Times New Roman" w:cs="Times New Roman"/>
          <w:b/>
          <w:kern w:val="0"/>
          <w:sz w:val="23"/>
          <w:szCs w:val="23"/>
          <w:lang w:eastAsia="hu-HU" w:bidi="ar-SA"/>
        </w:rPr>
      </w:pPr>
    </w:p>
    <w:p w:rsidR="00733D8F" w:rsidRPr="00733D8F" w:rsidRDefault="00733D8F" w:rsidP="00733D8F">
      <w:pPr>
        <w:tabs>
          <w:tab w:val="left" w:pos="567"/>
          <w:tab w:val="left" w:pos="5954"/>
          <w:tab w:val="left" w:pos="6663"/>
        </w:tabs>
        <w:suppressAutoHyphens w:val="0"/>
        <w:rPr>
          <w:rFonts w:eastAsia="Times New Roman" w:cs="Times New Roman"/>
          <w:kern w:val="0"/>
          <w:sz w:val="23"/>
          <w:szCs w:val="23"/>
          <w:lang w:eastAsia="hu-HU" w:bidi="ar-SA"/>
        </w:rPr>
      </w:pPr>
    </w:p>
    <w:p w:rsidR="00733D8F" w:rsidRPr="00733D8F" w:rsidRDefault="00733D8F" w:rsidP="00733D8F">
      <w:pPr>
        <w:tabs>
          <w:tab w:val="left" w:pos="567"/>
          <w:tab w:val="left" w:pos="5954"/>
          <w:tab w:val="left" w:pos="6663"/>
        </w:tabs>
        <w:suppressAutoHyphens w:val="0"/>
        <w:rPr>
          <w:rFonts w:eastAsia="Times New Roman" w:cs="Times New Roman"/>
          <w:kern w:val="0"/>
          <w:sz w:val="23"/>
          <w:szCs w:val="23"/>
          <w:lang w:eastAsia="hu-HU" w:bidi="ar-SA"/>
        </w:rPr>
      </w:pPr>
      <w:r w:rsidRPr="00733D8F">
        <w:rPr>
          <w:rFonts w:eastAsia="Times New Roman" w:cs="Times New Roman"/>
          <w:kern w:val="0"/>
          <w:sz w:val="23"/>
          <w:szCs w:val="23"/>
          <w:lang w:eastAsia="hu-HU" w:bidi="ar-SA"/>
        </w:rPr>
        <w:t>A rendelet kihirdetve: 2021. december 17.</w:t>
      </w:r>
    </w:p>
    <w:p w:rsidR="00733D8F" w:rsidRPr="00733D8F" w:rsidRDefault="00733D8F" w:rsidP="00733D8F">
      <w:pPr>
        <w:tabs>
          <w:tab w:val="left" w:pos="567"/>
          <w:tab w:val="left" w:pos="5954"/>
          <w:tab w:val="left" w:pos="6663"/>
        </w:tabs>
        <w:suppressAutoHyphens w:val="0"/>
        <w:rPr>
          <w:rFonts w:eastAsia="Times New Roman" w:cs="Times New Roman"/>
          <w:kern w:val="0"/>
          <w:sz w:val="23"/>
          <w:szCs w:val="23"/>
          <w:lang w:eastAsia="hu-HU" w:bidi="ar-SA"/>
        </w:rPr>
      </w:pPr>
    </w:p>
    <w:p w:rsidR="00733D8F" w:rsidRPr="00733D8F" w:rsidRDefault="00733D8F" w:rsidP="00733D8F">
      <w:pPr>
        <w:tabs>
          <w:tab w:val="left" w:pos="567"/>
          <w:tab w:val="left" w:pos="5954"/>
          <w:tab w:val="left" w:pos="6663"/>
        </w:tabs>
        <w:suppressAutoHyphens w:val="0"/>
        <w:rPr>
          <w:rFonts w:eastAsia="Times New Roman" w:cs="Times New Roman"/>
          <w:kern w:val="0"/>
          <w:sz w:val="23"/>
          <w:szCs w:val="23"/>
          <w:lang w:eastAsia="hu-HU" w:bidi="ar-SA"/>
        </w:rPr>
      </w:pPr>
    </w:p>
    <w:p w:rsidR="00733D8F" w:rsidRPr="00733D8F" w:rsidRDefault="00733D8F" w:rsidP="00733D8F">
      <w:pPr>
        <w:tabs>
          <w:tab w:val="center" w:pos="1418"/>
          <w:tab w:val="center" w:pos="6804"/>
        </w:tabs>
        <w:suppressAutoHyphens w:val="0"/>
        <w:jc w:val="both"/>
        <w:rPr>
          <w:rFonts w:eastAsia="Times New Roman" w:cs="Times New Roman"/>
          <w:b/>
          <w:kern w:val="0"/>
          <w:sz w:val="23"/>
          <w:szCs w:val="23"/>
          <w:lang w:eastAsia="hu-HU" w:bidi="ar-SA"/>
        </w:rPr>
      </w:pPr>
      <w:r w:rsidRPr="00733D8F">
        <w:rPr>
          <w:rFonts w:eastAsia="Times New Roman" w:cs="Times New Roman"/>
          <w:kern w:val="0"/>
          <w:sz w:val="23"/>
          <w:szCs w:val="23"/>
          <w:lang w:eastAsia="hu-HU" w:bidi="ar-SA"/>
        </w:rPr>
        <w:tab/>
      </w:r>
      <w:r w:rsidRPr="00733D8F">
        <w:rPr>
          <w:rFonts w:eastAsia="Times New Roman" w:cs="Times New Roman"/>
          <w:kern w:val="0"/>
          <w:sz w:val="23"/>
          <w:szCs w:val="23"/>
          <w:lang w:eastAsia="hu-HU" w:bidi="ar-SA"/>
        </w:rPr>
        <w:tab/>
      </w:r>
      <w:r w:rsidRPr="00733D8F">
        <w:rPr>
          <w:rFonts w:eastAsia="Times New Roman" w:cs="Times New Roman"/>
          <w:b/>
          <w:kern w:val="0"/>
          <w:sz w:val="23"/>
          <w:szCs w:val="23"/>
          <w:lang w:eastAsia="hu-HU" w:bidi="ar-SA"/>
        </w:rPr>
        <w:t xml:space="preserve"> </w:t>
      </w:r>
      <w:proofErr w:type="gramStart"/>
      <w:r w:rsidRPr="00733D8F">
        <w:rPr>
          <w:rFonts w:eastAsia="Times New Roman" w:cs="Times New Roman"/>
          <w:b/>
          <w:kern w:val="0"/>
          <w:sz w:val="23"/>
          <w:szCs w:val="23"/>
          <w:lang w:eastAsia="hu-HU" w:bidi="ar-SA"/>
        </w:rPr>
        <w:t>dr.</w:t>
      </w:r>
      <w:proofErr w:type="gramEnd"/>
      <w:r w:rsidRPr="00733D8F">
        <w:rPr>
          <w:rFonts w:eastAsia="Times New Roman" w:cs="Times New Roman"/>
          <w:b/>
          <w:kern w:val="0"/>
          <w:sz w:val="23"/>
          <w:szCs w:val="23"/>
          <w:lang w:eastAsia="hu-HU" w:bidi="ar-SA"/>
        </w:rPr>
        <w:t xml:space="preserve"> </w:t>
      </w:r>
      <w:proofErr w:type="spellStart"/>
      <w:r w:rsidRPr="00733D8F">
        <w:rPr>
          <w:rFonts w:eastAsia="Times New Roman" w:cs="Times New Roman"/>
          <w:b/>
          <w:kern w:val="0"/>
          <w:sz w:val="23"/>
          <w:szCs w:val="23"/>
          <w:lang w:eastAsia="hu-HU" w:bidi="ar-SA"/>
        </w:rPr>
        <w:t>Kórik</w:t>
      </w:r>
      <w:proofErr w:type="spellEnd"/>
      <w:r w:rsidRPr="00733D8F">
        <w:rPr>
          <w:rFonts w:eastAsia="Times New Roman" w:cs="Times New Roman"/>
          <w:b/>
          <w:kern w:val="0"/>
          <w:sz w:val="23"/>
          <w:szCs w:val="23"/>
          <w:lang w:eastAsia="hu-HU" w:bidi="ar-SA"/>
        </w:rPr>
        <w:t xml:space="preserve"> Zsuzsanna</w:t>
      </w:r>
    </w:p>
    <w:p w:rsidR="00733D8F" w:rsidRPr="00733D8F" w:rsidRDefault="00733D8F" w:rsidP="00733D8F">
      <w:pPr>
        <w:tabs>
          <w:tab w:val="center" w:pos="4536"/>
        </w:tabs>
        <w:suppressAutoHyphens w:val="0"/>
        <w:rPr>
          <w:rFonts w:eastAsia="Times New Roman" w:cs="Times New Roman"/>
          <w:b/>
          <w:kern w:val="0"/>
          <w:sz w:val="23"/>
          <w:szCs w:val="23"/>
          <w:lang w:eastAsia="hu-HU" w:bidi="ar-SA"/>
        </w:rPr>
      </w:pPr>
      <w:r w:rsidRPr="00733D8F">
        <w:rPr>
          <w:rFonts w:eastAsia="Times New Roman" w:cs="Times New Roman"/>
          <w:b/>
          <w:kern w:val="0"/>
          <w:sz w:val="23"/>
          <w:szCs w:val="23"/>
          <w:lang w:eastAsia="hu-HU" w:bidi="ar-SA"/>
        </w:rPr>
        <w:t xml:space="preserve">           </w:t>
      </w:r>
      <w:r w:rsidRPr="00733D8F">
        <w:rPr>
          <w:rFonts w:eastAsia="Times New Roman" w:cs="Times New Roman"/>
          <w:b/>
          <w:kern w:val="0"/>
          <w:sz w:val="23"/>
          <w:szCs w:val="23"/>
          <w:lang w:eastAsia="hu-HU" w:bidi="ar-SA"/>
        </w:rPr>
        <w:tab/>
      </w:r>
      <w:r w:rsidRPr="00733D8F">
        <w:rPr>
          <w:rFonts w:eastAsia="Times New Roman" w:cs="Times New Roman"/>
          <w:b/>
          <w:kern w:val="0"/>
          <w:sz w:val="23"/>
          <w:szCs w:val="23"/>
          <w:lang w:eastAsia="hu-HU" w:bidi="ar-SA"/>
        </w:rPr>
        <w:tab/>
        <w:t xml:space="preserve">            </w:t>
      </w:r>
      <w:r w:rsidRPr="00733D8F">
        <w:rPr>
          <w:rFonts w:eastAsia="Times New Roman" w:cs="Times New Roman"/>
          <w:b/>
          <w:kern w:val="0"/>
          <w:sz w:val="23"/>
          <w:szCs w:val="23"/>
          <w:lang w:eastAsia="hu-HU" w:bidi="ar-SA"/>
        </w:rPr>
        <w:tab/>
      </w:r>
      <w:r w:rsidRPr="00733D8F">
        <w:rPr>
          <w:rFonts w:eastAsia="Times New Roman" w:cs="Times New Roman"/>
          <w:b/>
          <w:kern w:val="0"/>
          <w:sz w:val="23"/>
          <w:szCs w:val="23"/>
          <w:lang w:eastAsia="hu-HU" w:bidi="ar-SA"/>
        </w:rPr>
        <w:tab/>
        <w:t xml:space="preserve">  </w:t>
      </w:r>
      <w:proofErr w:type="gramStart"/>
      <w:r w:rsidRPr="00733D8F">
        <w:rPr>
          <w:rFonts w:eastAsia="Times New Roman" w:cs="Times New Roman"/>
          <w:b/>
          <w:kern w:val="0"/>
          <w:sz w:val="23"/>
          <w:szCs w:val="23"/>
          <w:lang w:eastAsia="hu-HU" w:bidi="ar-SA"/>
        </w:rPr>
        <w:t>jegyző</w:t>
      </w:r>
      <w:proofErr w:type="gramEnd"/>
    </w:p>
    <w:p w:rsidR="00733D8F" w:rsidRPr="00733D8F" w:rsidRDefault="00733D8F" w:rsidP="00733D8F">
      <w:pPr>
        <w:suppressAutoHyphens w:val="0"/>
        <w:spacing w:after="200" w:line="276" w:lineRule="auto"/>
        <w:rPr>
          <w:rFonts w:eastAsia="Times New Roman" w:cs="Times New Roman"/>
          <w:b/>
          <w:kern w:val="0"/>
          <w:sz w:val="23"/>
          <w:szCs w:val="23"/>
          <w:lang w:eastAsia="hu-HU" w:bidi="ar-SA"/>
        </w:rPr>
      </w:pPr>
      <w:bookmarkStart w:id="0" w:name="_GoBack"/>
      <w:bookmarkEnd w:id="0"/>
    </w:p>
    <w:p w:rsidR="003619C6" w:rsidRDefault="00905E8B">
      <w:pPr>
        <w:pStyle w:val="Szvegtrzs"/>
        <w:spacing w:after="0" w:line="240" w:lineRule="auto"/>
        <w:jc w:val="both"/>
      </w:pPr>
      <w:r>
        <w:br w:type="page"/>
      </w:r>
    </w:p>
    <w:p w:rsidR="003619C6" w:rsidRDefault="00905E8B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</w:t>
      </w:r>
    </w:p>
    <w:p w:rsidR="003619C6" w:rsidRDefault="00905E8B">
      <w:pPr>
        <w:pStyle w:val="Szvegtrzs"/>
        <w:spacing w:before="220" w:after="0" w:line="240" w:lineRule="auto"/>
        <w:jc w:val="both"/>
      </w:pPr>
      <w:r>
        <w:t>1. Az önkormányzat vagyonáról és a vagyongazdálkodás szabályairól szóló 31/2013. (X.25.) önkormányzati rendelet 4. mellékletében foglalt táblázat a következő 453. sorral egészül ki:</w:t>
      </w:r>
    </w:p>
    <w:p w:rsidR="003619C6" w:rsidRDefault="00905E8B">
      <w:pPr>
        <w:jc w:val="both"/>
      </w:pPr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74"/>
        <w:gridCol w:w="1446"/>
        <w:gridCol w:w="2795"/>
        <w:gridCol w:w="2313"/>
        <w:gridCol w:w="770"/>
        <w:gridCol w:w="675"/>
        <w:gridCol w:w="965"/>
      </w:tblGrid>
      <w:tr w:rsidR="003619C6">
        <w:tc>
          <w:tcPr>
            <w:tcW w:w="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9C6" w:rsidRDefault="00905E8B">
            <w:pPr>
              <w:pStyle w:val="Szvegtrzs"/>
              <w:spacing w:after="0" w:line="240" w:lineRule="auto"/>
              <w:jc w:val="both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i/>
                <w:iCs/>
                <w:sz w:val="17"/>
                <w:szCs w:val="17"/>
              </w:rPr>
              <w:t>(</w:t>
            </w:r>
            <w:proofErr w:type="spellStart"/>
            <w:r>
              <w:rPr>
                <w:b/>
                <w:bCs/>
                <w:i/>
                <w:iCs/>
                <w:sz w:val="17"/>
                <w:szCs w:val="17"/>
              </w:rPr>
              <w:t>ssz</w:t>
            </w:r>
            <w:proofErr w:type="spellEnd"/>
            <w:r>
              <w:rPr>
                <w:b/>
                <w:bCs/>
                <w:i/>
                <w:iCs/>
                <w:sz w:val="17"/>
                <w:szCs w:val="17"/>
              </w:rPr>
              <w:t>.</w:t>
            </w:r>
          </w:p>
        </w:tc>
        <w:tc>
          <w:tcPr>
            <w:tcW w:w="79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9C6" w:rsidRDefault="00905E8B">
            <w:pPr>
              <w:pStyle w:val="Szvegtrzs"/>
              <w:spacing w:after="0" w:line="240" w:lineRule="auto"/>
              <w:jc w:val="both"/>
              <w:rPr>
                <w:b/>
                <w:bCs/>
                <w:i/>
                <w:iCs/>
                <w:sz w:val="17"/>
                <w:szCs w:val="17"/>
              </w:rPr>
            </w:pPr>
            <w:r>
              <w:rPr>
                <w:b/>
                <w:bCs/>
                <w:i/>
                <w:iCs/>
                <w:sz w:val="17"/>
                <w:szCs w:val="17"/>
              </w:rPr>
              <w:t>ingatlan</w:t>
            </w:r>
          </w:p>
        </w:tc>
        <w:tc>
          <w:tcPr>
            <w:tcW w:w="9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9C6" w:rsidRDefault="00905E8B">
            <w:pPr>
              <w:pStyle w:val="Szvegtrzs"/>
              <w:spacing w:after="0" w:line="240" w:lineRule="auto"/>
              <w:jc w:val="both"/>
              <w:rPr>
                <w:b/>
                <w:bCs/>
                <w:i/>
                <w:iCs/>
                <w:sz w:val="17"/>
                <w:szCs w:val="17"/>
              </w:rPr>
            </w:pPr>
            <w:r>
              <w:rPr>
                <w:b/>
                <w:bCs/>
                <w:i/>
                <w:iCs/>
                <w:sz w:val="17"/>
                <w:szCs w:val="17"/>
              </w:rPr>
              <w:t>tulajdoni hányad</w:t>
            </w:r>
          </w:p>
        </w:tc>
      </w:tr>
      <w:tr w:rsidR="003619C6">
        <w:tc>
          <w:tcPr>
            <w:tcW w:w="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9C6" w:rsidRDefault="003619C6"/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9C6" w:rsidRDefault="00905E8B">
            <w:pPr>
              <w:pStyle w:val="Szvegtrzs"/>
              <w:spacing w:after="0" w:line="240" w:lineRule="auto"/>
              <w:jc w:val="both"/>
              <w:rPr>
                <w:b/>
                <w:bCs/>
                <w:i/>
                <w:iCs/>
                <w:sz w:val="17"/>
                <w:szCs w:val="17"/>
              </w:rPr>
            </w:pPr>
            <w:r>
              <w:rPr>
                <w:b/>
                <w:bCs/>
                <w:i/>
                <w:iCs/>
                <w:sz w:val="17"/>
                <w:szCs w:val="17"/>
              </w:rPr>
              <w:t>helyrajzi száma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9C6" w:rsidRDefault="00905E8B">
            <w:pPr>
              <w:pStyle w:val="Szvegtrzs"/>
              <w:spacing w:after="0" w:line="240" w:lineRule="auto"/>
              <w:jc w:val="both"/>
              <w:rPr>
                <w:b/>
                <w:bCs/>
                <w:i/>
                <w:iCs/>
                <w:sz w:val="17"/>
                <w:szCs w:val="17"/>
              </w:rPr>
            </w:pPr>
            <w:r>
              <w:rPr>
                <w:b/>
                <w:bCs/>
                <w:i/>
                <w:iCs/>
                <w:sz w:val="17"/>
                <w:szCs w:val="17"/>
              </w:rPr>
              <w:t>megnevezése</w:t>
            </w:r>
          </w:p>
        </w:tc>
        <w:tc>
          <w:tcPr>
            <w:tcW w:w="3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9C6" w:rsidRDefault="00905E8B">
            <w:pPr>
              <w:pStyle w:val="Szvegtrzs"/>
              <w:spacing w:after="0" w:line="240" w:lineRule="auto"/>
              <w:jc w:val="both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i/>
                <w:iCs/>
                <w:sz w:val="17"/>
                <w:szCs w:val="17"/>
              </w:rPr>
              <w:t>címe,</w:t>
            </w:r>
            <w:r>
              <w:rPr>
                <w:b/>
                <w:bCs/>
                <w:sz w:val="17"/>
                <w:szCs w:val="17"/>
              </w:rPr>
              <w:tab/>
              <w:t xml:space="preserve"> </w:t>
            </w:r>
            <w:r>
              <w:rPr>
                <w:b/>
                <w:bCs/>
                <w:sz w:val="17"/>
                <w:szCs w:val="17"/>
              </w:rPr>
              <w:br/>
            </w:r>
            <w:r>
              <w:rPr>
                <w:b/>
                <w:bCs/>
                <w:i/>
                <w:iCs/>
                <w:sz w:val="17"/>
                <w:szCs w:val="17"/>
              </w:rPr>
              <w:t>településrész megnevezése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9C6" w:rsidRDefault="00905E8B">
            <w:pPr>
              <w:pStyle w:val="Szvegtrzs"/>
              <w:spacing w:after="0" w:line="240" w:lineRule="auto"/>
              <w:jc w:val="both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i/>
                <w:iCs/>
                <w:sz w:val="17"/>
                <w:szCs w:val="17"/>
              </w:rPr>
              <w:t>terület (m</w:t>
            </w:r>
            <w:r>
              <w:rPr>
                <w:b/>
                <w:bCs/>
                <w:i/>
                <w:iCs/>
                <w:sz w:val="17"/>
                <w:szCs w:val="17"/>
                <w:vertAlign w:val="superscript"/>
              </w:rPr>
              <w:t>2</w:t>
            </w:r>
            <w:r>
              <w:rPr>
                <w:b/>
                <w:bCs/>
                <w:i/>
                <w:iCs/>
                <w:sz w:val="17"/>
                <w:szCs w:val="17"/>
              </w:rPr>
              <w:t>))</w:t>
            </w:r>
          </w:p>
        </w:tc>
        <w:tc>
          <w:tcPr>
            <w:tcW w:w="9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9C6" w:rsidRDefault="003619C6"/>
        </w:tc>
      </w:tr>
      <w:tr w:rsidR="003619C6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9C6" w:rsidRDefault="00905E8B">
            <w:pPr>
              <w:pStyle w:val="Szvegtrzs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453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9C6" w:rsidRDefault="00905E8B">
            <w:pPr>
              <w:pStyle w:val="Szvegtrzs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2448/6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9C6" w:rsidRDefault="00905E8B">
            <w:pPr>
              <w:pStyle w:val="Szvegtrzs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kivett sportcsarnok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9C6" w:rsidRDefault="00905E8B">
            <w:pPr>
              <w:pStyle w:val="Szvegtrzs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Petőfi Sándor u. 3.</w:t>
            </w:r>
          </w:p>
        </w:tc>
        <w:tc>
          <w:tcPr>
            <w:tcW w:w="14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9C6" w:rsidRDefault="00905E8B">
            <w:pPr>
              <w:pStyle w:val="Szvegtrzs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33392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9C6" w:rsidRDefault="00905E8B">
            <w:pPr>
              <w:pStyle w:val="Szvegtrzs"/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1/</w:t>
            </w:r>
            <w:proofErr w:type="spellStart"/>
            <w:r>
              <w:rPr>
                <w:sz w:val="17"/>
                <w:szCs w:val="17"/>
              </w:rPr>
              <w:t>1</w:t>
            </w:r>
            <w:proofErr w:type="spellEnd"/>
          </w:p>
        </w:tc>
      </w:tr>
    </w:tbl>
    <w:p w:rsidR="003619C6" w:rsidRDefault="00905E8B">
      <w:pPr>
        <w:jc w:val="right"/>
        <w:sectPr w:rsidR="003619C6">
          <w:footerReference w:type="default" r:id="rId8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>
        <w:t>”</w:t>
      </w:r>
    </w:p>
    <w:p w:rsidR="003619C6" w:rsidRDefault="003619C6">
      <w:pPr>
        <w:pStyle w:val="Szvegtrzs"/>
        <w:spacing w:after="0"/>
        <w:jc w:val="center"/>
      </w:pPr>
    </w:p>
    <w:p w:rsidR="003619C6" w:rsidRDefault="00905E8B">
      <w:pPr>
        <w:pStyle w:val="Szvegtrzs"/>
        <w:spacing w:after="159" w:line="240" w:lineRule="auto"/>
        <w:ind w:left="159" w:right="159"/>
        <w:jc w:val="center"/>
      </w:pPr>
      <w:r>
        <w:t xml:space="preserve">Általános </w:t>
      </w:r>
      <w:r>
        <w:t>indokolás</w:t>
      </w:r>
    </w:p>
    <w:p w:rsidR="003619C6" w:rsidRDefault="00905E8B">
      <w:pPr>
        <w:pStyle w:val="Szvegtrzs"/>
        <w:spacing w:after="200" w:line="240" w:lineRule="auto"/>
        <w:jc w:val="both"/>
      </w:pPr>
      <w:r>
        <w:t>Tiszavasvári Város Önkormányzata Képviselő-testülete az Alaptörvény 32. cikk (1) bekezdés a) pontjában, valamint a Magyarország helyi önkormányzatairól szóló 2011. évi CLXXXIX. törvény 107. §</w:t>
      </w:r>
      <w:proofErr w:type="spellStart"/>
      <w:r>
        <w:t>-ában</w:t>
      </w:r>
      <w:proofErr w:type="spellEnd"/>
      <w:r>
        <w:t xml:space="preserve"> meghatározott feladatkörében eljárva megalkotta a</w:t>
      </w:r>
      <w:r>
        <w:t>z önkormányzat vagyonáról és a vagyongazdálkodás szabályairól szóló rendeletét, melynek módosítása vált szükségessé.</w:t>
      </w:r>
    </w:p>
    <w:p w:rsidR="003619C6" w:rsidRDefault="00905E8B">
      <w:pPr>
        <w:pStyle w:val="Szvegtrzs"/>
        <w:spacing w:before="476" w:after="159" w:line="240" w:lineRule="auto"/>
        <w:ind w:left="159" w:right="159"/>
        <w:jc w:val="center"/>
      </w:pPr>
      <w:r>
        <w:t>Részletes indokolás</w:t>
      </w:r>
    </w:p>
    <w:p w:rsidR="003619C6" w:rsidRDefault="00905E8B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>Az 1.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 xml:space="preserve"> és a 2.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 xml:space="preserve"> </w:t>
      </w:r>
    </w:p>
    <w:p w:rsidR="003619C6" w:rsidRDefault="00905E8B">
      <w:pPr>
        <w:pStyle w:val="Szvegtrzs"/>
        <w:spacing w:after="200" w:line="240" w:lineRule="auto"/>
        <w:jc w:val="both"/>
      </w:pPr>
      <w:r>
        <w:t xml:space="preserve">Döntés született Tiszavasvári Város közvilágításának </w:t>
      </w:r>
      <w:proofErr w:type="spellStart"/>
      <w:r>
        <w:t>LED-es</w:t>
      </w:r>
      <w:proofErr w:type="spellEnd"/>
      <w:r>
        <w:t xml:space="preserve"> technológiával való korszerűsíté</w:t>
      </w:r>
      <w:r>
        <w:t>séről, bővítéséről, illetve ennek érdekében történő hitelfelvételről.</w:t>
      </w:r>
    </w:p>
    <w:p w:rsidR="003619C6" w:rsidRDefault="00905E8B">
      <w:pPr>
        <w:pStyle w:val="Szvegtrzs"/>
        <w:spacing w:after="200" w:line="240" w:lineRule="auto"/>
        <w:jc w:val="both"/>
      </w:pPr>
      <w:r>
        <w:t xml:space="preserve">A Takarékbank </w:t>
      </w:r>
      <w:proofErr w:type="spellStart"/>
      <w:r>
        <w:t>Zrt.-vel</w:t>
      </w:r>
      <w:proofErr w:type="spellEnd"/>
      <w:r>
        <w:t xml:space="preserve"> kötendő beruházás finanszírozási </w:t>
      </w:r>
      <w:proofErr w:type="gramStart"/>
      <w:r>
        <w:t>célra tárgyú</w:t>
      </w:r>
      <w:proofErr w:type="gramEnd"/>
      <w:r>
        <w:t xml:space="preserve"> hitelszerződés 3.5.20. pontja az alábbiakat tartalmazza:</w:t>
      </w:r>
    </w:p>
    <w:p w:rsidR="003619C6" w:rsidRDefault="00905E8B">
      <w:pPr>
        <w:pStyle w:val="Szvegtrzs"/>
        <w:spacing w:after="200" w:line="240" w:lineRule="auto"/>
        <w:jc w:val="both"/>
      </w:pPr>
      <w:r>
        <w:t>„Legalább a hitelösszeg 100 %-át elérő hitelbiztosítéki érté</w:t>
      </w:r>
      <w:r>
        <w:t>kkel bíró, tehermentes és forgalomképes önkormányzati tulajdonú ingatlan bevonása a fedezeti körbe, amelyek nem képezik a törzsvagyon részét.”</w:t>
      </w:r>
    </w:p>
    <w:p w:rsidR="003619C6" w:rsidRDefault="00905E8B">
      <w:pPr>
        <w:pStyle w:val="Szvegtrzs"/>
        <w:spacing w:after="200" w:line="240" w:lineRule="auto"/>
        <w:jc w:val="both"/>
      </w:pPr>
      <w:r>
        <w:t> </w:t>
      </w:r>
    </w:p>
    <w:p w:rsidR="003619C6" w:rsidRDefault="00905E8B">
      <w:pPr>
        <w:pStyle w:val="Szvegtrzs"/>
        <w:spacing w:after="200" w:line="240" w:lineRule="auto"/>
        <w:jc w:val="both"/>
      </w:pPr>
      <w:r>
        <w:t>A hitel fedezetéül felajánlott ingatlan a Városi Sportcsarnok, amely jelenleg az önkormányzat</w:t>
      </w:r>
      <w:r>
        <w:rPr>
          <w:b/>
          <w:bCs/>
        </w:rPr>
        <w:t xml:space="preserve"> </w:t>
      </w:r>
      <w:r>
        <w:t>korlátozottan for</w:t>
      </w:r>
      <w:r>
        <w:t>galomképes törzsvagyoni körébe tartozik. A hitelfelvétel miatt szükséges az ingatlan üzleti vagyoni körbe történő besorolása.</w:t>
      </w:r>
    </w:p>
    <w:p w:rsidR="003619C6" w:rsidRDefault="00905E8B">
      <w:pPr>
        <w:pStyle w:val="Szvegtrzs"/>
        <w:spacing w:after="200" w:line="240" w:lineRule="auto"/>
        <w:jc w:val="both"/>
      </w:pPr>
      <w:r>
        <w:t>Az üzleti vagyonba tartozó vagyonelemeket a vagyonrendelet 4. melléklete tartalmazza.</w:t>
      </w:r>
    </w:p>
    <w:p w:rsidR="003619C6" w:rsidRDefault="00905E8B">
      <w:pPr>
        <w:pStyle w:val="Szvegtrzs"/>
        <w:spacing w:after="200" w:line="240" w:lineRule="auto"/>
        <w:jc w:val="both"/>
      </w:pPr>
      <w:r>
        <w:t>A módosítás érinti a rendelet 3. és 4. mellé</w:t>
      </w:r>
      <w:r>
        <w:t>kletét.</w:t>
      </w:r>
    </w:p>
    <w:p w:rsidR="003619C6" w:rsidRDefault="00905E8B">
      <w:pPr>
        <w:pStyle w:val="Szvegtrzs"/>
        <w:spacing w:after="200" w:line="240" w:lineRule="auto"/>
        <w:jc w:val="both"/>
      </w:pPr>
      <w:r>
        <w:t xml:space="preserve">A 3. mellékletből törlésre kerül a 11. sorszám alatt lévő 2488/6 </w:t>
      </w:r>
      <w:proofErr w:type="spellStart"/>
      <w:r>
        <w:t>hrsz-ú</w:t>
      </w:r>
      <w:proofErr w:type="spellEnd"/>
      <w:r>
        <w:t xml:space="preserve"> kivett sportcsarnok megnevezésű ingatlan, a 4. mellékletbe pedig felvételre kerül a 453. sorszám alatt.</w:t>
      </w:r>
    </w:p>
    <w:p w:rsidR="003619C6" w:rsidRDefault="00905E8B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>A 3.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 xml:space="preserve"> </w:t>
      </w:r>
    </w:p>
    <w:p w:rsidR="003619C6" w:rsidRDefault="00905E8B">
      <w:pPr>
        <w:pStyle w:val="Szvegtrzs"/>
        <w:spacing w:after="200" w:line="240" w:lineRule="auto"/>
        <w:jc w:val="both"/>
      </w:pPr>
      <w:r>
        <w:t>Hatályba léptető rendelkezést tartalmaz.</w:t>
      </w:r>
    </w:p>
    <w:sectPr w:rsidR="003619C6">
      <w:footerReference w:type="default" r:id="rId9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E8B" w:rsidRDefault="00905E8B">
      <w:r>
        <w:separator/>
      </w:r>
    </w:p>
  </w:endnote>
  <w:endnote w:type="continuationSeparator" w:id="0">
    <w:p w:rsidR="00905E8B" w:rsidRDefault="00905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9C6" w:rsidRDefault="00905E8B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733D8F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9C6" w:rsidRDefault="00905E8B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733D8F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E8B" w:rsidRDefault="00905E8B">
      <w:r>
        <w:separator/>
      </w:r>
    </w:p>
  </w:footnote>
  <w:footnote w:type="continuationSeparator" w:id="0">
    <w:p w:rsidR="00905E8B" w:rsidRDefault="00905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8235A"/>
    <w:multiLevelType w:val="multilevel"/>
    <w:tmpl w:val="FF1094F6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619C6"/>
    <w:rsid w:val="001C61EE"/>
    <w:rsid w:val="003619C6"/>
    <w:rsid w:val="00733D8F"/>
    <w:rsid w:val="0090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398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3</cp:revision>
  <dcterms:created xsi:type="dcterms:W3CDTF">2021-12-17T10:40:00Z</dcterms:created>
  <dcterms:modified xsi:type="dcterms:W3CDTF">2021-12-17T10:40:00Z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