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6F" w:rsidRPr="00DB3440" w:rsidRDefault="00D53B6F" w:rsidP="00D5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D53B6F" w:rsidRPr="000539EB" w:rsidRDefault="00D53B6F" w:rsidP="00D53B6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9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C65871">
        <w:rPr>
          <w:rFonts w:ascii="Times New Roman" w:hAnsi="Times New Roman" w:cs="Times New Roman"/>
          <w:sz w:val="24"/>
          <w:szCs w:val="24"/>
        </w:rPr>
        <w:t>1194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2071">
        <w:rPr>
          <w:rFonts w:ascii="Times New Roman" w:hAnsi="Times New Roman" w:cs="Times New Roman"/>
          <w:sz w:val="24"/>
          <w:szCs w:val="24"/>
        </w:rPr>
        <w:t>2</w:t>
      </w:r>
      <w:r w:rsidRPr="000539EB">
        <w:rPr>
          <w:rFonts w:ascii="Times New Roman" w:hAnsi="Times New Roman" w:cs="Times New Roman"/>
          <w:sz w:val="24"/>
          <w:szCs w:val="24"/>
        </w:rPr>
        <w:t>/202</w:t>
      </w:r>
      <w:r w:rsidR="00C65871">
        <w:rPr>
          <w:rFonts w:ascii="Times New Roman" w:hAnsi="Times New Roman" w:cs="Times New Roman"/>
          <w:sz w:val="24"/>
          <w:szCs w:val="24"/>
        </w:rPr>
        <w:t>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490CB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53B6F" w:rsidRPr="000539EB">
        <w:rPr>
          <w:rFonts w:ascii="Times New Roman" w:hAnsi="Times New Roman" w:cs="Times New Roman"/>
          <w:b/>
          <w:sz w:val="24"/>
          <w:szCs w:val="24"/>
        </w:rPr>
        <w:t>/202</w:t>
      </w:r>
      <w:r w:rsidR="00C65871">
        <w:rPr>
          <w:rFonts w:ascii="Times New Roman" w:hAnsi="Times New Roman" w:cs="Times New Roman"/>
          <w:b/>
          <w:sz w:val="24"/>
          <w:szCs w:val="24"/>
        </w:rPr>
        <w:t>1</w:t>
      </w:r>
      <w:r w:rsidR="00D53B6F" w:rsidRPr="000539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D53B6F" w:rsidRPr="003F3FBD" w:rsidRDefault="00D53B6F" w:rsidP="00D53B6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922E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2EB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="00180BA7">
        <w:rPr>
          <w:rFonts w:ascii="Times New Roman" w:hAnsi="Times New Roman" w:cs="Times New Roman"/>
          <w:b/>
          <w:sz w:val="24"/>
          <w:szCs w:val="24"/>
        </w:rPr>
        <w:t xml:space="preserve"> Vasvári Pál utca 95. szám alatti telephelyének megszüntetéséről, valamint</w:t>
      </w:r>
      <w:r w:rsidR="002922EB">
        <w:rPr>
          <w:rFonts w:ascii="Times New Roman" w:hAnsi="Times New Roman" w:cs="Times New Roman"/>
          <w:b/>
          <w:sz w:val="24"/>
          <w:szCs w:val="24"/>
        </w:rPr>
        <w:t xml:space="preserve"> alapító o</w:t>
      </w:r>
      <w:r>
        <w:rPr>
          <w:rFonts w:ascii="Times New Roman" w:hAnsi="Times New Roman" w:cs="Times New Roman"/>
          <w:b/>
          <w:sz w:val="24"/>
          <w:szCs w:val="24"/>
        </w:rPr>
        <w:t>kiratának módosításáról</w:t>
      </w:r>
    </w:p>
    <w:p w:rsidR="00D53B6F" w:rsidRPr="000539EB" w:rsidRDefault="00D53B6F" w:rsidP="00D5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D0" w:rsidRDefault="00232BBD" w:rsidP="00232B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Döntök </w:t>
      </w:r>
      <w:r w:rsidR="00543BF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232BBD">
        <w:rPr>
          <w:rFonts w:ascii="Times New Roman" w:hAnsi="Times New Roman" w:cs="Times New Roman"/>
          <w:bCs/>
          <w:sz w:val="24"/>
          <w:szCs w:val="24"/>
        </w:rPr>
        <w:t>Egyesített Közművelődési Intézmény és Könyvtár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543BF3">
        <w:rPr>
          <w:rFonts w:ascii="Times New Roman" w:hAnsi="Times New Roman" w:cs="Times New Roman"/>
          <w:bCs/>
          <w:sz w:val="24"/>
          <w:szCs w:val="24"/>
        </w:rPr>
        <w:t xml:space="preserve"> Tiszavasvári, Vasvári Pál</w:t>
      </w:r>
      <w:r>
        <w:rPr>
          <w:rFonts w:ascii="Times New Roman" w:hAnsi="Times New Roman" w:cs="Times New Roman"/>
          <w:bCs/>
          <w:sz w:val="24"/>
          <w:szCs w:val="24"/>
        </w:rPr>
        <w:t xml:space="preserve"> utca 95. szám alatt található </w:t>
      </w:r>
      <w:r w:rsidR="00543BF3" w:rsidRPr="00543BF3">
        <w:rPr>
          <w:rFonts w:ascii="Times New Roman" w:hAnsi="Times New Roman" w:cs="Times New Roman"/>
          <w:b/>
          <w:bCs/>
          <w:sz w:val="24"/>
          <w:szCs w:val="24"/>
        </w:rPr>
        <w:t>„1. számú Fiókkönyvtár” telephely</w:t>
      </w:r>
      <w:r>
        <w:rPr>
          <w:rFonts w:ascii="Times New Roman" w:hAnsi="Times New Roman" w:cs="Times New Roman"/>
          <w:b/>
          <w:bCs/>
          <w:sz w:val="24"/>
          <w:szCs w:val="24"/>
        </w:rPr>
        <w:t>ének</w:t>
      </w:r>
      <w:r w:rsidR="00543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2BBD">
        <w:rPr>
          <w:rFonts w:ascii="Times New Roman" w:hAnsi="Times New Roman" w:cs="Times New Roman"/>
          <w:b/>
          <w:bCs/>
          <w:sz w:val="24"/>
          <w:szCs w:val="24"/>
        </w:rPr>
        <w:t>megszüntetéséről</w:t>
      </w:r>
      <w:r w:rsidR="00543BF3" w:rsidRPr="00232B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3B6F" w:rsidRPr="00CB2D15" w:rsidRDefault="00D53B6F" w:rsidP="00F02BD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BD0">
        <w:rPr>
          <w:rFonts w:ascii="Times New Roman" w:hAnsi="Times New Roman" w:cs="Times New Roman"/>
          <w:bCs/>
          <w:sz w:val="24"/>
          <w:szCs w:val="24"/>
        </w:rPr>
        <w:t xml:space="preserve">Elfogadom </w:t>
      </w:r>
      <w:r w:rsidRPr="00CB2D15">
        <w:rPr>
          <w:rFonts w:ascii="Times New Roman" w:hAnsi="Times New Roman" w:cs="Times New Roman"/>
          <w:bCs/>
          <w:sz w:val="24"/>
          <w:szCs w:val="24"/>
        </w:rPr>
        <w:t>a</w:t>
      </w:r>
      <w:r w:rsidR="00CB2D15" w:rsidRPr="00CB2D15">
        <w:rPr>
          <w:rFonts w:ascii="Times New Roman" w:hAnsi="Times New Roman" w:cs="Times New Roman"/>
          <w:bCs/>
          <w:sz w:val="24"/>
          <w:szCs w:val="24"/>
        </w:rPr>
        <w:t>z</w:t>
      </w:r>
      <w:r w:rsidRPr="00CB2D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22EB" w:rsidRPr="00CB2D15">
        <w:rPr>
          <w:rFonts w:ascii="Times New Roman" w:hAnsi="Times New Roman" w:cs="Times New Roman"/>
          <w:sz w:val="24"/>
          <w:szCs w:val="24"/>
        </w:rPr>
        <w:t>Egyesített Közművelődési Intézmény és Könyvtár</w:t>
      </w:r>
      <w:r w:rsidRPr="00F02BD0">
        <w:rPr>
          <w:rFonts w:ascii="Times New Roman" w:hAnsi="Times New Roman" w:cs="Times New Roman"/>
          <w:b/>
          <w:sz w:val="24"/>
          <w:szCs w:val="24"/>
        </w:rPr>
        <w:t xml:space="preserve"> alapító okirat módosítását</w:t>
      </w:r>
      <w:r w:rsidR="002922EB" w:rsidRPr="00F02BD0">
        <w:rPr>
          <w:rFonts w:ascii="Times New Roman" w:hAnsi="Times New Roman" w:cs="Times New Roman"/>
          <w:b/>
          <w:sz w:val="24"/>
          <w:szCs w:val="24"/>
        </w:rPr>
        <w:t>,</w:t>
      </w:r>
      <w:r w:rsidR="00CB2D15">
        <w:rPr>
          <w:rFonts w:ascii="Times New Roman" w:hAnsi="Times New Roman" w:cs="Times New Roman"/>
          <w:b/>
          <w:sz w:val="24"/>
          <w:szCs w:val="24"/>
        </w:rPr>
        <w:t xml:space="preserve"> a határozat 1. számú melléklete szerinti tartalommal.</w:t>
      </w:r>
      <w:r w:rsidR="002922EB" w:rsidRPr="00F02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D15" w:rsidRPr="00F02BD0" w:rsidRDefault="00CB2D15" w:rsidP="00CB2D1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D15">
        <w:rPr>
          <w:rFonts w:ascii="Times New Roman" w:hAnsi="Times New Roman" w:cs="Times New Roman"/>
          <w:sz w:val="24"/>
          <w:szCs w:val="24"/>
        </w:rPr>
        <w:t>Elfogadom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D15">
        <w:rPr>
          <w:rFonts w:ascii="Times New Roman" w:hAnsi="Times New Roman" w:cs="Times New Roman"/>
          <w:sz w:val="24"/>
          <w:szCs w:val="24"/>
        </w:rPr>
        <w:t>az Egyesített Közművelődési Intézmény és Könyvtár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D15">
        <w:rPr>
          <w:rFonts w:ascii="Times New Roman" w:hAnsi="Times New Roman" w:cs="Times New Roman"/>
          <w:b/>
          <w:sz w:val="24"/>
          <w:szCs w:val="24"/>
        </w:rPr>
        <w:t>egységes szerkezetű alapító okiratát</w:t>
      </w:r>
      <w:r>
        <w:rPr>
          <w:rFonts w:ascii="Times New Roman" w:hAnsi="Times New Roman" w:cs="Times New Roman"/>
          <w:b/>
          <w:sz w:val="24"/>
          <w:szCs w:val="24"/>
        </w:rPr>
        <w:t>, a határozat 2. számú melléklete szerinti tartalommal.</w:t>
      </w:r>
    </w:p>
    <w:p w:rsidR="00C34226" w:rsidRPr="00C34226" w:rsidRDefault="00C34226" w:rsidP="00C34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40A" w:rsidRPr="00873087" w:rsidRDefault="002922EB" w:rsidP="008124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47F39">
        <w:rPr>
          <w:rFonts w:ascii="Times New Roman" w:hAnsi="Times New Roman" w:cs="Times New Roman"/>
          <w:bCs/>
          <w:sz w:val="24"/>
          <w:szCs w:val="24"/>
        </w:rPr>
        <w:t>öntésemet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47F3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február</w:t>
      </w:r>
      <w:r w:rsidR="00812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1240A">
        <w:rPr>
          <w:rFonts w:ascii="Times New Roman" w:hAnsi="Times New Roman" w:cs="Times New Roman"/>
          <w:bCs/>
          <w:sz w:val="24"/>
          <w:szCs w:val="24"/>
        </w:rPr>
        <w:t xml:space="preserve">. napjáig megküldöm </w:t>
      </w:r>
      <w:r w:rsidR="00D53B6F" w:rsidRPr="001871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Magyar Államkincstárnak</w:t>
      </w:r>
      <w:r w:rsidR="0081240A"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módosított alapító okirat törzskönyvi ny</w:t>
      </w:r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ilvántartáson való átvezetése érdekében, valamint a határozato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mról tájékoztatom az érintett,</w:t>
      </w:r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922E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Egyesített Közművelődési Intézmény és Könyvtár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intézmény</w:t>
      </w:r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vezetőjét. </w:t>
      </w:r>
    </w:p>
    <w:p w:rsidR="00CC669F" w:rsidRPr="002B0A05" w:rsidRDefault="00CC669F" w:rsidP="00D53B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53B6F" w:rsidRDefault="00D53B6F" w:rsidP="00D53B6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CC669F" w:rsidRPr="002B0A05" w:rsidRDefault="00CC669F" w:rsidP="00D53B6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2922EB" w:rsidRDefault="002922EB" w:rsidP="0059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</w:t>
      </w:r>
      <w:r w:rsidRPr="00292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2EB">
        <w:rPr>
          <w:rFonts w:ascii="Times New Roman" w:hAnsi="Times New Roman" w:cs="Times New Roman"/>
          <w:sz w:val="24"/>
          <w:szCs w:val="24"/>
        </w:rPr>
        <w:t>Egyesített Közművelődési Intézmény és Könyvtár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BD0">
        <w:rPr>
          <w:rFonts w:ascii="Times New Roman" w:hAnsi="Times New Roman" w:cs="Times New Roman"/>
          <w:sz w:val="24"/>
          <w:szCs w:val="24"/>
        </w:rPr>
        <w:t>intézmény</w:t>
      </w:r>
      <w:r>
        <w:rPr>
          <w:rFonts w:ascii="Times New Roman" w:hAnsi="Times New Roman" w:cs="Times New Roman"/>
          <w:sz w:val="24"/>
          <w:szCs w:val="24"/>
        </w:rPr>
        <w:t>vezetője</w:t>
      </w:r>
      <w:r w:rsidR="00F02BD0">
        <w:rPr>
          <w:rFonts w:ascii="Times New Roman" w:hAnsi="Times New Roman" w:cs="Times New Roman"/>
          <w:sz w:val="24"/>
          <w:szCs w:val="24"/>
        </w:rPr>
        <w:t xml:space="preserve"> 2021. január 19. napján</w:t>
      </w:r>
      <w:r>
        <w:rPr>
          <w:rFonts w:ascii="Times New Roman" w:hAnsi="Times New Roman" w:cs="Times New Roman"/>
          <w:sz w:val="24"/>
          <w:szCs w:val="24"/>
        </w:rPr>
        <w:t xml:space="preserve"> megkereséssel élt </w:t>
      </w:r>
      <w:r w:rsidR="00F02BD0">
        <w:rPr>
          <w:rFonts w:ascii="Times New Roman" w:hAnsi="Times New Roman" w:cs="Times New Roman"/>
          <w:sz w:val="24"/>
          <w:szCs w:val="24"/>
        </w:rPr>
        <w:t>az Önkormányzat felé</w:t>
      </w:r>
      <w:r>
        <w:rPr>
          <w:rFonts w:ascii="Times New Roman" w:hAnsi="Times New Roman" w:cs="Times New Roman"/>
          <w:sz w:val="24"/>
          <w:szCs w:val="24"/>
        </w:rPr>
        <w:t>, melyben</w:t>
      </w:r>
      <w:r w:rsidR="00F02BD0">
        <w:rPr>
          <w:rFonts w:ascii="Times New Roman" w:hAnsi="Times New Roman" w:cs="Times New Roman"/>
          <w:sz w:val="24"/>
          <w:szCs w:val="24"/>
        </w:rPr>
        <w:t xml:space="preserve"> </w:t>
      </w:r>
      <w:r w:rsidR="00232BBD">
        <w:rPr>
          <w:rFonts w:ascii="Times New Roman" w:hAnsi="Times New Roman" w:cs="Times New Roman"/>
          <w:sz w:val="24"/>
          <w:szCs w:val="24"/>
        </w:rPr>
        <w:t>kérelmezte</w:t>
      </w:r>
      <w:r>
        <w:rPr>
          <w:rFonts w:ascii="Times New Roman" w:hAnsi="Times New Roman" w:cs="Times New Roman"/>
          <w:sz w:val="24"/>
          <w:szCs w:val="24"/>
        </w:rPr>
        <w:t xml:space="preserve"> a Vasvári Pál utca 95. szám alatt található „1. számú Fiókkönyvtár” telephely</w:t>
      </w:r>
      <w:r w:rsidR="00232BBD">
        <w:rPr>
          <w:rFonts w:ascii="Times New Roman" w:hAnsi="Times New Roman" w:cs="Times New Roman"/>
          <w:sz w:val="24"/>
          <w:szCs w:val="24"/>
        </w:rPr>
        <w:t xml:space="preserve"> megszüntetését.</w:t>
      </w:r>
      <w:r w:rsidR="00232BBD">
        <w:rPr>
          <w:rFonts w:ascii="Times New Roman" w:hAnsi="Times New Roman" w:cs="Times New Roman"/>
          <w:sz w:val="24"/>
          <w:szCs w:val="24"/>
        </w:rPr>
        <w:br/>
        <w:t>Ezáltal</w:t>
      </w:r>
      <w:r w:rsidR="00F02BD0">
        <w:rPr>
          <w:rFonts w:ascii="Times New Roman" w:hAnsi="Times New Roman" w:cs="Times New Roman"/>
          <w:sz w:val="24"/>
          <w:szCs w:val="24"/>
        </w:rPr>
        <w:t xml:space="preserve"> szükségessé</w:t>
      </w:r>
      <w:r w:rsidR="00232BBD">
        <w:rPr>
          <w:rFonts w:ascii="Times New Roman" w:hAnsi="Times New Roman" w:cs="Times New Roman"/>
          <w:sz w:val="24"/>
          <w:szCs w:val="24"/>
        </w:rPr>
        <w:t xml:space="preserve"> vált</w:t>
      </w:r>
      <w:r w:rsidR="00F02BD0">
        <w:rPr>
          <w:rFonts w:ascii="Times New Roman" w:hAnsi="Times New Roman" w:cs="Times New Roman"/>
          <w:sz w:val="24"/>
          <w:szCs w:val="24"/>
        </w:rPr>
        <w:t xml:space="preserve"> az </w:t>
      </w:r>
      <w:proofErr w:type="gramStart"/>
      <w:r w:rsidR="00F02BD0">
        <w:rPr>
          <w:rFonts w:ascii="Times New Roman" w:hAnsi="Times New Roman" w:cs="Times New Roman"/>
          <w:sz w:val="24"/>
          <w:szCs w:val="24"/>
        </w:rPr>
        <w:t>intézmény alapító</w:t>
      </w:r>
      <w:proofErr w:type="gramEnd"/>
      <w:r w:rsidR="00F02BD0">
        <w:rPr>
          <w:rFonts w:ascii="Times New Roman" w:hAnsi="Times New Roman" w:cs="Times New Roman"/>
          <w:sz w:val="24"/>
          <w:szCs w:val="24"/>
        </w:rPr>
        <w:t xml:space="preserve"> okiratának módosítása, a telephely törlése céljából.</w:t>
      </w:r>
      <w:r w:rsidR="0023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Indoklása szerint az „1. számú Fiókkönyvtár” évek óta személyi és technikai feltételek hiánya miatt nem üzemel, az ott található dokumentumok jelentős része </w:t>
      </w:r>
      <w:r w:rsidR="00F02BD0">
        <w:rPr>
          <w:rFonts w:ascii="Times New Roman" w:hAnsi="Times New Roman" w:cs="Times New Roman"/>
          <w:sz w:val="24"/>
          <w:szCs w:val="24"/>
        </w:rPr>
        <w:t>tarta</w:t>
      </w:r>
      <w:r w:rsidR="00B204C8">
        <w:rPr>
          <w:rFonts w:ascii="Times New Roman" w:hAnsi="Times New Roman" w:cs="Times New Roman"/>
          <w:sz w:val="24"/>
          <w:szCs w:val="24"/>
        </w:rPr>
        <w:t xml:space="preserve">lmilag elavult, elhasználódott. </w:t>
      </w:r>
      <w:r w:rsidR="00F02BD0">
        <w:rPr>
          <w:rFonts w:ascii="Times New Roman" w:hAnsi="Times New Roman" w:cs="Times New Roman"/>
          <w:sz w:val="24"/>
          <w:szCs w:val="24"/>
        </w:rPr>
        <w:t>Minimális</w:t>
      </w:r>
      <w:r w:rsidR="00232BBD">
        <w:rPr>
          <w:rFonts w:ascii="Times New Roman" w:hAnsi="Times New Roman" w:cs="Times New Roman"/>
          <w:sz w:val="24"/>
          <w:szCs w:val="24"/>
        </w:rPr>
        <w:t>r</w:t>
      </w:r>
      <w:r w:rsidR="00F02BD0">
        <w:rPr>
          <w:rFonts w:ascii="Times New Roman" w:hAnsi="Times New Roman" w:cs="Times New Roman"/>
          <w:sz w:val="24"/>
          <w:szCs w:val="24"/>
        </w:rPr>
        <w:t>a csökkent az odalátogatók száma, az ott található számítógépek több mint 20 évesek, internet-csatlakozási lehetőség nincs.</w:t>
      </w:r>
    </w:p>
    <w:p w:rsidR="00F02BD0" w:rsidRDefault="00F02BD0" w:rsidP="005970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B204C8" w:rsidRDefault="00232BBD" w:rsidP="005970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Fentiek miatt, az intézményvezető kérelmében foglaltak alapján megállapítható, hogy a</w:t>
      </w:r>
      <w:r w:rsidR="00B204C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Vasvári Pál utca 95. szám alatti telephelyet kihasználatlanság miatt nem indokolt Fiókkönyvtárként fenntartani.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</w:p>
    <w:p w:rsidR="00B204C8" w:rsidRDefault="00B204C8" w:rsidP="005970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CC669F" w:rsidRDefault="00B204C8" w:rsidP="005970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</w:t>
      </w:r>
      <w:r w:rsidR="00CC669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z</w:t>
      </w:r>
      <w:r w:rsidR="00543BF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alapító okiratból</w:t>
      </w:r>
      <w:r w:rsidR="00CC669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alábbi </w:t>
      </w:r>
      <w:r w:rsidR="00F02BD0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telephely törlése</w:t>
      </w:r>
      <w:r w:rsidR="00CC669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szükséges</w:t>
      </w:r>
      <w:r w:rsidR="00F02BD0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:</w:t>
      </w:r>
    </w:p>
    <w:p w:rsidR="005F7434" w:rsidRDefault="005F7434" w:rsidP="00F02B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hu-HU"/>
        </w:rPr>
      </w:pPr>
    </w:p>
    <w:p w:rsidR="00BF40D0" w:rsidRPr="00B204C8" w:rsidRDefault="00F02BD0" w:rsidP="00D53B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F02BD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02BD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számú Fiókkönyvtár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(4440 Tiszavasvári, Vasvári Pál utca 95.)</w:t>
      </w:r>
    </w:p>
    <w:p w:rsidR="00D53B6F" w:rsidRPr="001F0CC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lastRenderedPageBreak/>
        <w:t xml:space="preserve">Magyarország Kormánya a veszélyhelyzet kihirdetéséről szóló </w:t>
      </w:r>
      <w:r w:rsidR="00A7092B">
        <w:rPr>
          <w:rFonts w:ascii="Times New Roman" w:hAnsi="Times New Roman" w:cs="Times New Roman"/>
          <w:b/>
          <w:sz w:val="24"/>
          <w:szCs w:val="24"/>
        </w:rPr>
        <w:t>478/2020. (XI. 3.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 w:rsidR="001F0CC7">
        <w:rPr>
          <w:rFonts w:ascii="Times New Roman" w:hAnsi="Times New Roman" w:cs="Times New Roman"/>
          <w:sz w:val="24"/>
          <w:szCs w:val="24"/>
        </w:rPr>
        <w:t>az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 w:rsidR="001F0CC7">
        <w:rPr>
          <w:rFonts w:ascii="Times New Roman" w:hAnsi="Times New Roman" w:cs="Times New Roman"/>
          <w:sz w:val="24"/>
          <w:szCs w:val="24"/>
        </w:rPr>
        <w:t>következményeinek elhárítása, a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Magyarország egész területére veszélyhelyzetet hirdet ki 2020. november 4. napjától.</w:t>
      </w:r>
    </w:p>
    <w:p w:rsidR="00A7092B" w:rsidRPr="00187117" w:rsidRDefault="00A7092B" w:rsidP="00D53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>Tiszavasvári, 202</w:t>
      </w:r>
      <w:r w:rsidR="00543BF3">
        <w:rPr>
          <w:rFonts w:ascii="Times New Roman" w:hAnsi="Times New Roman" w:cs="Times New Roman"/>
          <w:sz w:val="24"/>
          <w:szCs w:val="24"/>
        </w:rPr>
        <w:t>1</w:t>
      </w:r>
      <w:r w:rsidRPr="00187117">
        <w:rPr>
          <w:rFonts w:ascii="Times New Roman" w:hAnsi="Times New Roman" w:cs="Times New Roman"/>
          <w:sz w:val="24"/>
          <w:szCs w:val="24"/>
        </w:rPr>
        <w:t xml:space="preserve">. </w:t>
      </w:r>
      <w:r w:rsidR="00543BF3">
        <w:rPr>
          <w:rFonts w:ascii="Times New Roman" w:hAnsi="Times New Roman" w:cs="Times New Roman"/>
          <w:sz w:val="24"/>
          <w:szCs w:val="24"/>
        </w:rPr>
        <w:t>januá</w:t>
      </w:r>
      <w:r w:rsidR="009461FF">
        <w:rPr>
          <w:rFonts w:ascii="Times New Roman" w:hAnsi="Times New Roman" w:cs="Times New Roman"/>
          <w:sz w:val="24"/>
          <w:szCs w:val="24"/>
        </w:rPr>
        <w:t xml:space="preserve">r </w:t>
      </w:r>
      <w:r w:rsidR="00543BF3">
        <w:rPr>
          <w:rFonts w:ascii="Times New Roman" w:hAnsi="Times New Roman" w:cs="Times New Roman"/>
          <w:sz w:val="24"/>
          <w:szCs w:val="24"/>
        </w:rPr>
        <w:t>28</w:t>
      </w:r>
      <w:r w:rsidR="009461FF">
        <w:rPr>
          <w:rFonts w:ascii="Times New Roman" w:hAnsi="Times New Roman" w:cs="Times New Roman"/>
          <w:sz w:val="24"/>
          <w:szCs w:val="24"/>
        </w:rPr>
        <w:t>.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2B" w:rsidRPr="00187117" w:rsidRDefault="00A7092B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F3" w:rsidRDefault="00543B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94E" w:rsidRPr="00187117" w:rsidRDefault="004B294E" w:rsidP="004B2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94E" w:rsidRPr="00830BB2" w:rsidRDefault="00490CBF" w:rsidP="004B2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4B294E" w:rsidRPr="00187117">
        <w:rPr>
          <w:rFonts w:ascii="Times New Roman" w:hAnsi="Times New Roman" w:cs="Times New Roman"/>
          <w:sz w:val="24"/>
          <w:szCs w:val="24"/>
        </w:rPr>
        <w:t>/202</w:t>
      </w:r>
      <w:r w:rsidR="00543BF3">
        <w:rPr>
          <w:rFonts w:ascii="Times New Roman" w:hAnsi="Times New Roman" w:cs="Times New Roman"/>
          <w:sz w:val="24"/>
          <w:szCs w:val="24"/>
        </w:rPr>
        <w:t>1</w:t>
      </w:r>
      <w:r w:rsidR="004B294E" w:rsidRPr="00187117">
        <w:rPr>
          <w:rFonts w:ascii="Times New Roman" w:hAnsi="Times New Roman" w:cs="Times New Roman"/>
          <w:sz w:val="24"/>
          <w:szCs w:val="24"/>
        </w:rPr>
        <w:t xml:space="preserve">. polgármesteri határozat </w:t>
      </w:r>
      <w:r w:rsidR="004B294E">
        <w:rPr>
          <w:rFonts w:ascii="Times New Roman" w:hAnsi="Times New Roman" w:cs="Times New Roman"/>
          <w:sz w:val="24"/>
          <w:szCs w:val="24"/>
        </w:rPr>
        <w:t xml:space="preserve">1. sz. </w:t>
      </w:r>
      <w:r w:rsidR="004B294E" w:rsidRPr="00187117">
        <w:rPr>
          <w:rFonts w:ascii="Times New Roman" w:hAnsi="Times New Roman" w:cs="Times New Roman"/>
          <w:sz w:val="24"/>
          <w:szCs w:val="24"/>
        </w:rPr>
        <w:t>melléklete</w:t>
      </w:r>
    </w:p>
    <w:p w:rsidR="00543BF3" w:rsidRDefault="00543BF3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  <w:r w:rsidRPr="006C7B9C">
        <w:rPr>
          <w:rFonts w:asciiTheme="majorHAnsi" w:eastAsia="Calibri" w:hAnsiTheme="majorHAnsi" w:cs="Times New Roman"/>
          <w:lang w:eastAsia="hu-HU"/>
        </w:rPr>
        <w:t>Okirat száma: TPH/1194-3/2021.</w:t>
      </w: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6C7B9C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6C7B9C">
        <w:rPr>
          <w:rFonts w:asciiTheme="majorHAnsi" w:eastAsia="Calibri" w:hAnsiTheme="majorHAnsi" w:cs="Times New Roman"/>
          <w:b/>
          <w:lang w:eastAsia="hu-HU"/>
        </w:rPr>
        <w:t>Az</w:t>
      </w:r>
      <w:r w:rsidRPr="006C7B9C">
        <w:rPr>
          <w:rFonts w:asciiTheme="majorHAnsi" w:eastAsia="Calibri" w:hAnsiTheme="majorHAnsi" w:cs="Times New Roman"/>
          <w:lang w:eastAsia="hu-HU"/>
        </w:rPr>
        <w:t xml:space="preserve"> </w:t>
      </w:r>
      <w:r w:rsidRPr="006C7B9C">
        <w:rPr>
          <w:rFonts w:asciiTheme="majorHAnsi" w:eastAsia="Calibri" w:hAnsiTheme="majorHAnsi" w:cs="Times New Roman"/>
          <w:b/>
          <w:lang w:eastAsia="hu-HU"/>
        </w:rPr>
        <w:t>Egyesített Közművelődési Intézmény és Könyvtár, Tiszavasvári Város Önkormányzata Képviselő-testülete</w:t>
      </w:r>
      <w:r w:rsidRPr="006C7B9C">
        <w:rPr>
          <w:rFonts w:asciiTheme="majorHAnsi" w:eastAsia="Calibri" w:hAnsiTheme="majorHAnsi" w:cs="Times New Roman"/>
          <w:lang w:eastAsia="hu-HU"/>
        </w:rPr>
        <w:t xml:space="preserve"> </w:t>
      </w:r>
      <w:r w:rsidRPr="006C7B9C">
        <w:rPr>
          <w:rFonts w:asciiTheme="majorHAnsi" w:eastAsia="Calibri" w:hAnsiTheme="majorHAnsi" w:cs="Times New Roman"/>
          <w:b/>
          <w:lang w:eastAsia="hu-HU"/>
        </w:rPr>
        <w:t>által</w:t>
      </w:r>
      <w:r w:rsidRPr="006C7B9C">
        <w:rPr>
          <w:rFonts w:asciiTheme="majorHAnsi" w:eastAsia="Calibri" w:hAnsiTheme="majorHAnsi" w:cs="Times New Roman"/>
          <w:lang w:eastAsia="hu-HU"/>
        </w:rPr>
        <w:t xml:space="preserve"> </w:t>
      </w:r>
      <w:r w:rsidRPr="006C7B9C">
        <w:rPr>
          <w:rFonts w:asciiTheme="majorHAnsi" w:eastAsia="Calibri" w:hAnsiTheme="majorHAnsi" w:cs="Times New Roman"/>
          <w:b/>
          <w:lang w:eastAsia="hu-HU"/>
        </w:rPr>
        <w:t>2020. október 01. napján kiadott, TPH/11460-21/2020. számú</w:t>
      </w:r>
      <w:r w:rsidRPr="006C7B9C">
        <w:rPr>
          <w:rFonts w:asciiTheme="majorHAnsi" w:eastAsia="Calibri" w:hAnsiTheme="majorHAnsi" w:cs="Times New Roman"/>
          <w:lang w:eastAsia="hu-HU"/>
        </w:rPr>
        <w:t xml:space="preserve"> </w:t>
      </w:r>
      <w:r w:rsidRPr="006C7B9C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6C7B9C">
        <w:rPr>
          <w:rFonts w:asciiTheme="majorHAnsi" w:eastAsia="Calibri" w:hAnsiTheme="majorHAnsi" w:cs="Times New Roman"/>
          <w:lang w:eastAsia="hu-HU"/>
        </w:rPr>
        <w:t xml:space="preserve"> </w:t>
      </w:r>
      <w:r w:rsidRPr="006C7B9C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6C7B9C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6C7B9C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6C7B9C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6C7B9C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6C7B9C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Polgármesterének 14/2021. (I.28.) határozatára figyelemmel – a következők szerint módosítom:</w:t>
      </w:r>
    </w:p>
    <w:p w:rsidR="006C7B9C" w:rsidRPr="006C7B9C" w:rsidRDefault="006C7B9C" w:rsidP="006C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B9C" w:rsidRPr="006C7B9C" w:rsidRDefault="006C7B9C" w:rsidP="006C7B9C">
      <w:pPr>
        <w:numPr>
          <w:ilvl w:val="0"/>
          <w:numId w:val="8"/>
        </w:num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Theme="majorHAnsi" w:eastAsia="Calibri" w:hAnsiTheme="majorHAnsi" w:cs="Times New Roman"/>
          <w:lang w:eastAsia="hu-HU"/>
        </w:rPr>
      </w:pPr>
      <w:r w:rsidRPr="006C7B9C">
        <w:rPr>
          <w:rFonts w:asciiTheme="majorHAnsi" w:eastAsia="Calibri" w:hAnsiTheme="majorHAnsi" w:cs="Times New Roman"/>
          <w:lang w:eastAsia="hu-HU"/>
        </w:rPr>
        <w:t xml:space="preserve">Az alapító okirat 1.2.2. pontja helyébe az alábbi rendelkezés lép: </w:t>
      </w: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Theme="majorHAnsi" w:eastAsia="Calibri" w:hAnsiTheme="majorHAnsi" w:cs="Times New Roman"/>
          <w:lang w:eastAsia="hu-HU"/>
        </w:rPr>
      </w:pPr>
    </w:p>
    <w:p w:rsidR="006C7B9C" w:rsidRPr="006C7B9C" w:rsidRDefault="006C7B9C" w:rsidP="006C7B9C">
      <w:pPr>
        <w:tabs>
          <w:tab w:val="left" w:leader="dot" w:pos="9072"/>
        </w:tabs>
        <w:spacing w:before="80" w:after="120" w:line="240" w:lineRule="auto"/>
        <w:ind w:left="720"/>
        <w:jc w:val="both"/>
        <w:rPr>
          <w:rFonts w:asciiTheme="majorHAnsi" w:eastAsia="Times New Roman" w:hAnsiTheme="majorHAnsi" w:cs="Times New Roman"/>
          <w:lang w:eastAsia="hu-HU"/>
        </w:rPr>
      </w:pPr>
      <w:r w:rsidRPr="006C7B9C">
        <w:rPr>
          <w:rFonts w:asciiTheme="majorHAnsi" w:hAnsiTheme="majorHAnsi"/>
        </w:rPr>
        <w:t>„</w:t>
      </w:r>
      <w:proofErr w:type="gramStart"/>
      <w:r w:rsidRPr="006C7B9C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6C7B9C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6C7B9C" w:rsidRPr="006C7B9C" w:rsidTr="00C13088">
        <w:trPr>
          <w:jc w:val="center"/>
        </w:trPr>
        <w:tc>
          <w:tcPr>
            <w:tcW w:w="363" w:type="pct"/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6C7B9C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6C7B9C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6C7B9C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6C7B9C">
              <w:rPr>
                <w:rFonts w:ascii="Cambria" w:hAnsi="Cambria" w:cs="Cambria"/>
                <w:lang w:eastAsia="hu-HU"/>
              </w:rPr>
              <w:t>Vasvári Pál Múzeum</w:t>
            </w:r>
          </w:p>
        </w:tc>
        <w:tc>
          <w:tcPr>
            <w:tcW w:w="2270" w:type="pct"/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6C7B9C">
              <w:rPr>
                <w:rFonts w:ascii="Cambria" w:hAnsi="Cambria" w:cs="Cambria"/>
                <w:bCs/>
                <w:lang w:eastAsia="hu-HU"/>
              </w:rPr>
              <w:t>4440 Tiszavasvári, Kálvin utca 7.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6C7B9C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6C7B9C">
              <w:rPr>
                <w:rFonts w:ascii="Cambria" w:hAnsi="Cambria" w:cs="Cambria"/>
                <w:lang w:eastAsia="hu-HU"/>
              </w:rPr>
              <w:t>Raktár, adattár, könyvtár</w:t>
            </w:r>
          </w:p>
        </w:tc>
        <w:tc>
          <w:tcPr>
            <w:tcW w:w="2270" w:type="pct"/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6C7B9C">
              <w:rPr>
                <w:rFonts w:ascii="Cambria" w:hAnsi="Cambria" w:cs="Cambria"/>
                <w:bCs/>
                <w:lang w:eastAsia="hu-HU"/>
              </w:rPr>
              <w:t>4440 Tiszavasvári, Ady Endre utca 8.</w:t>
            </w:r>
          </w:p>
        </w:tc>
      </w:tr>
    </w:tbl>
    <w:p w:rsidR="006C7B9C" w:rsidRPr="006C7B9C" w:rsidRDefault="006C7B9C" w:rsidP="006C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B9C" w:rsidRPr="006C7B9C" w:rsidRDefault="006C7B9C" w:rsidP="006C7B9C">
      <w:pPr>
        <w:numPr>
          <w:ilvl w:val="0"/>
          <w:numId w:val="8"/>
        </w:num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Theme="majorHAnsi" w:eastAsia="Calibri" w:hAnsiTheme="majorHAnsi" w:cs="Times New Roman"/>
          <w:lang w:eastAsia="hu-HU"/>
        </w:rPr>
      </w:pPr>
      <w:r w:rsidRPr="006C7B9C">
        <w:rPr>
          <w:rFonts w:asciiTheme="majorHAnsi" w:eastAsia="Calibri" w:hAnsiTheme="majorHAnsi" w:cs="Times New Roman"/>
          <w:lang w:eastAsia="hu-HU"/>
        </w:rPr>
        <w:t xml:space="preserve">Az alapító okirat 4.4. pontja helyébe az alábbi rendelkezés lép: </w:t>
      </w: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Theme="majorHAnsi" w:eastAsia="Calibri" w:hAnsiTheme="majorHAnsi" w:cs="Times New Roman"/>
          <w:lang w:eastAsia="hu-HU"/>
        </w:rPr>
      </w:pP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Theme="majorHAnsi" w:eastAsia="Calibri" w:hAnsiTheme="majorHAnsi" w:cs="Times New Roman"/>
          <w:lang w:eastAsia="hu-HU"/>
        </w:rPr>
      </w:pPr>
      <w:r w:rsidRPr="006C7B9C">
        <w:rPr>
          <w:rFonts w:asciiTheme="majorHAnsi" w:eastAsia="Calibri" w:hAnsiTheme="majorHAnsi" w:cs="Times New Roman"/>
          <w:lang w:eastAsia="hu-HU"/>
        </w:rPr>
        <w:t>„A költségvetési szerv alaptevékenységének kormányzati funkció szerinti megjelölése:</w:t>
      </w: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Theme="majorHAnsi" w:eastAsia="Calibri" w:hAnsiTheme="majorHAnsi" w:cs="Times New Roman"/>
          <w:lang w:eastAsia="hu-HU"/>
        </w:rPr>
      </w:pPr>
    </w:p>
    <w:tbl>
      <w:tblPr>
        <w:tblStyle w:val="Rcsostblzat111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kormányzati funkciószám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kormányzati funkció megnevezése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081030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Sportlétesítmények, edzőtáborok működtetése és fejlesztése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082030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Művészeti tevékenységek (kivéve: színház)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082042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Könyvtári állomány gyarapítása, nyilvántartása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082043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Könyvtári állomány feltárása, megőrzése, védelme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082044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Könyvtári szolgáltatások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082061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bCs/>
                <w:lang w:eastAsia="hu-HU"/>
              </w:rPr>
              <w:t>Múzeumi gyűjteményi tevékenység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082062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bCs/>
                <w:lang w:eastAsia="hu-HU"/>
              </w:rPr>
              <w:t>Múzeumi tudományos feldolgozó és publikációs tevékenység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8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082063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bCs/>
                <w:lang w:eastAsia="hu-HU"/>
              </w:rPr>
              <w:t>Múzeumi kiállítási tevékenység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082064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bCs/>
                <w:lang w:eastAsia="hu-HU"/>
              </w:rPr>
              <w:t>Múzeumi közművelődési, közönségkapcsolati tevékenység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10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082070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Történelmi hely, építmény, egyéb látványosság működtetése és megóvása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11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082091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Közművelődés - közösségi és társadalmi részvétel fejlesztése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12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082092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Közművelődés - hagyományos közösségi kulturális értékek gondozása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13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082094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Közművelődés - kulturális alapú gazdaságfejlesztés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14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083020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Könyvkiadás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lastRenderedPageBreak/>
              <w:t>15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083030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Egyéb kiadói tevékenység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16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086030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Nemzetközi kulturális együttműködés</w:t>
            </w:r>
          </w:p>
        </w:tc>
      </w:tr>
      <w:tr w:rsidR="006C7B9C" w:rsidRPr="006C7B9C" w:rsidTr="00C13088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17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086090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C" w:rsidRPr="006C7B9C" w:rsidRDefault="006C7B9C" w:rsidP="006C7B9C">
            <w:pPr>
              <w:tabs>
                <w:tab w:val="left" w:leader="dot" w:pos="9072"/>
              </w:tabs>
              <w:spacing w:before="80"/>
              <w:rPr>
                <w:rFonts w:ascii="Cambria" w:eastAsia="Calibri" w:hAnsi="Cambria"/>
                <w:lang w:eastAsia="hu-HU"/>
              </w:rPr>
            </w:pPr>
            <w:r w:rsidRPr="006C7B9C">
              <w:rPr>
                <w:rFonts w:ascii="Cambria" w:eastAsia="Calibri" w:hAnsi="Cambria"/>
                <w:lang w:eastAsia="hu-HU"/>
              </w:rPr>
              <w:t>Egyéb szabadidős szolgáltatás</w:t>
            </w:r>
          </w:p>
        </w:tc>
      </w:tr>
    </w:tbl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</w:p>
    <w:p w:rsidR="006C7B9C" w:rsidRPr="006C7B9C" w:rsidRDefault="006C7B9C" w:rsidP="006C7B9C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6C7B9C">
        <w:rPr>
          <w:rFonts w:asciiTheme="majorHAnsi" w:eastAsia="Calibri" w:hAnsiTheme="majorHAnsi" w:cs="Times New Roman"/>
          <w:lang w:eastAsia="hu-HU"/>
        </w:rPr>
        <w:t>Jelen módosító okiratot a törzskönyvi nyilvántartásba történő bejegyzés napjától kell alkalmazni.</w:t>
      </w: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6C7B9C">
        <w:rPr>
          <w:rFonts w:asciiTheme="majorHAnsi" w:eastAsia="Calibri" w:hAnsiTheme="majorHAnsi" w:cs="Times New Roman"/>
          <w:lang w:eastAsia="hu-HU"/>
        </w:rPr>
        <w:t>Kelt: Tiszavasvári, 2021. időbélyegző szerint</w:t>
      </w: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6C7B9C">
        <w:rPr>
          <w:rFonts w:asciiTheme="majorHAnsi" w:eastAsia="Calibri" w:hAnsiTheme="majorHAnsi" w:cs="Times New Roman"/>
          <w:lang w:eastAsia="hu-HU"/>
        </w:rPr>
        <w:t>P.H.</w:t>
      </w:r>
    </w:p>
    <w:p w:rsidR="006C7B9C" w:rsidRPr="006C7B9C" w:rsidRDefault="006C7B9C" w:rsidP="006C7B9C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</w:p>
    <w:p w:rsidR="006C7B9C" w:rsidRPr="006C7B9C" w:rsidRDefault="006C7B9C" w:rsidP="006C7B9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6C7B9C">
        <w:rPr>
          <w:rFonts w:asciiTheme="majorHAnsi" w:eastAsia="Calibri" w:hAnsiTheme="majorHAnsi" w:cs="Times New Roman"/>
          <w:lang w:eastAsia="hu-HU"/>
        </w:rPr>
        <w:t>Szőke Zoltán</w:t>
      </w:r>
    </w:p>
    <w:p w:rsidR="006C7B9C" w:rsidRPr="006C7B9C" w:rsidRDefault="006C7B9C" w:rsidP="006C7B9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6C7B9C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6C7B9C" w:rsidRPr="006C7B9C" w:rsidRDefault="006C7B9C" w:rsidP="006C7B9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6C7B9C" w:rsidRPr="006C7B9C" w:rsidRDefault="006C7B9C" w:rsidP="006C7B9C">
      <w:pPr>
        <w:rPr>
          <w:rFonts w:ascii="Times New Roman" w:hAnsi="Times New Roman" w:cs="Times New Roman"/>
          <w:sz w:val="24"/>
          <w:szCs w:val="24"/>
        </w:rPr>
      </w:pPr>
    </w:p>
    <w:p w:rsidR="006C7B9C" w:rsidRPr="006C7B9C" w:rsidRDefault="006C7B9C" w:rsidP="006C7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Pr="006C7B9C" w:rsidRDefault="006C7B9C" w:rsidP="006C7B9C"/>
    <w:p w:rsidR="006C7B9C" w:rsidRPr="006C7B9C" w:rsidRDefault="006C7B9C" w:rsidP="006C7B9C"/>
    <w:p w:rsidR="00543BF3" w:rsidRDefault="00543BF3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B9C" w:rsidRDefault="006C7B9C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160" w:rsidRDefault="00490CBF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817160" w:rsidRPr="00187117">
        <w:rPr>
          <w:rFonts w:ascii="Times New Roman" w:hAnsi="Times New Roman" w:cs="Times New Roman"/>
          <w:sz w:val="24"/>
          <w:szCs w:val="24"/>
        </w:rPr>
        <w:t>/202</w:t>
      </w:r>
      <w:r w:rsidR="00543BF3">
        <w:rPr>
          <w:rFonts w:ascii="Times New Roman" w:hAnsi="Times New Roman" w:cs="Times New Roman"/>
          <w:sz w:val="24"/>
          <w:szCs w:val="24"/>
        </w:rPr>
        <w:t>1</w:t>
      </w:r>
      <w:r w:rsidR="00817160" w:rsidRPr="00187117">
        <w:rPr>
          <w:rFonts w:ascii="Times New Roman" w:hAnsi="Times New Roman" w:cs="Times New Roman"/>
          <w:sz w:val="24"/>
          <w:szCs w:val="24"/>
        </w:rPr>
        <w:t xml:space="preserve">. polgármesteri határozat </w:t>
      </w:r>
      <w:r w:rsidR="00817160">
        <w:rPr>
          <w:rFonts w:ascii="Times New Roman" w:hAnsi="Times New Roman" w:cs="Times New Roman"/>
          <w:sz w:val="24"/>
          <w:szCs w:val="24"/>
        </w:rPr>
        <w:t xml:space="preserve">2. sz. </w:t>
      </w:r>
      <w:r w:rsidR="00817160" w:rsidRPr="00187117">
        <w:rPr>
          <w:rFonts w:ascii="Times New Roman" w:hAnsi="Times New Roman" w:cs="Times New Roman"/>
          <w:sz w:val="24"/>
          <w:szCs w:val="24"/>
        </w:rPr>
        <w:t>melléklete</w:t>
      </w:r>
    </w:p>
    <w:p w:rsidR="00AE4B92" w:rsidRDefault="00AE4B92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92" w:rsidRPr="00EF04C1" w:rsidRDefault="00AE4B92" w:rsidP="00AE4B92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Okirat száma: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TPH/</w:t>
      </w:r>
      <w:r>
        <w:rPr>
          <w:rFonts w:asciiTheme="majorHAnsi" w:eastAsia="Times New Roman" w:hAnsiTheme="majorHAnsi" w:cs="Times New Roman"/>
          <w:lang w:eastAsia="hu-HU"/>
        </w:rPr>
        <w:t>1194-</w:t>
      </w:r>
      <w:r w:rsidR="00922071">
        <w:rPr>
          <w:rFonts w:asciiTheme="majorHAnsi" w:eastAsia="Times New Roman" w:hAnsiTheme="majorHAnsi" w:cs="Times New Roman"/>
          <w:lang w:eastAsia="hu-HU"/>
        </w:rPr>
        <w:t>4</w:t>
      </w:r>
      <w:r>
        <w:rPr>
          <w:rFonts w:asciiTheme="majorHAnsi" w:eastAsia="Times New Roman" w:hAnsiTheme="majorHAnsi" w:cs="Times New Roman"/>
          <w:lang w:eastAsia="hu-HU"/>
        </w:rPr>
        <w:t>/2021</w:t>
      </w:r>
      <w:r w:rsidRPr="00EF04C1">
        <w:rPr>
          <w:rFonts w:asciiTheme="majorHAnsi" w:eastAsia="Times New Roman" w:hAnsiTheme="majorHAnsi" w:cs="Times New Roman"/>
          <w:lang w:eastAsia="hu-HU"/>
        </w:rPr>
        <w:t>.</w:t>
      </w:r>
    </w:p>
    <w:p w:rsidR="00AE4B92" w:rsidRPr="00EF04C1" w:rsidRDefault="00AE4B92" w:rsidP="00AE4B92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EF04C1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EF04C1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EF04C1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AE4B92" w:rsidRPr="00EF04C1" w:rsidRDefault="00AE4B92" w:rsidP="00AE4B92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EF04C1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EF04C1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EF04C1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EF04C1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EF04C1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EF04C1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r w:rsidRPr="00EF04C1">
        <w:rPr>
          <w:rFonts w:asciiTheme="majorHAnsi" w:eastAsia="Calibri" w:hAnsiTheme="majorHAnsi" w:cs="Times New Roman"/>
          <w:b/>
          <w:lang w:eastAsia="hu-HU"/>
        </w:rPr>
        <w:t>Egyesített Közművelődési Intézmény és Könyvtár</w:t>
      </w:r>
      <w:r w:rsidRPr="00EF04C1">
        <w:rPr>
          <w:rFonts w:asciiTheme="majorHAnsi" w:eastAsia="Times New Roman" w:hAnsiTheme="majorHAnsi" w:cs="Times New Roman"/>
          <w:b/>
          <w:lang w:eastAsia="hu-HU"/>
        </w:rPr>
        <w:t xml:space="preserve"> alapító okiratát a következők szerint adom ki:</w:t>
      </w:r>
    </w:p>
    <w:p w:rsidR="00AE4B92" w:rsidRPr="00EF04C1" w:rsidRDefault="00AE4B92" w:rsidP="00AE4B9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AE4B92" w:rsidRPr="00EF04C1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megnevezése:</w:t>
      </w:r>
      <w:r w:rsidRPr="00EF04C1">
        <w:rPr>
          <w:rFonts w:ascii="Cambria" w:eastAsia="Calibri" w:hAnsi="Cambria" w:cs="Cambria"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szCs w:val="20"/>
          <w:lang w:eastAsia="hu-HU"/>
        </w:rPr>
        <w:t>Egyesített Közművelődési Intézmény és Könyvtár</w:t>
      </w:r>
    </w:p>
    <w:p w:rsidR="00AE4B92" w:rsidRPr="00EF04C1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rövidített neve:</w:t>
      </w:r>
      <w:r w:rsidRPr="00EF04C1">
        <w:rPr>
          <w:rFonts w:ascii="Cambria" w:eastAsia="Calibri" w:hAnsi="Cambria" w:cs="Cambria"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szCs w:val="20"/>
          <w:lang w:eastAsia="hu-HU"/>
        </w:rPr>
        <w:t>EKIK</w:t>
      </w: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AE4B92" w:rsidRPr="00EF04C1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</w:t>
      </w:r>
      <w:r w:rsidRPr="00EF04C1">
        <w:rPr>
          <w:rFonts w:ascii="Cambria" w:eastAsia="Calibri" w:hAnsi="Cambria" w:cs="Cambria"/>
          <w:bCs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bCs/>
          <w:szCs w:val="20"/>
          <w:lang w:eastAsia="hu-HU"/>
        </w:rPr>
        <w:t>4440 Tiszavasvári, Szabadság tér 1.</w:t>
      </w:r>
    </w:p>
    <w:p w:rsidR="00AE4B92" w:rsidRPr="00EF04C1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EF04C1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EF04C1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lang w:eastAsia="hu-HU"/>
              </w:rPr>
              <w:t>Vasvári Pál Múzeum</w:t>
            </w:r>
          </w:p>
        </w:tc>
        <w:tc>
          <w:tcPr>
            <w:tcW w:w="2270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bCs/>
                <w:lang w:eastAsia="hu-HU"/>
              </w:rPr>
              <w:t>4440 Tiszavasvári, Kálvin utca 7.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lang w:eastAsia="hu-HU"/>
              </w:rPr>
              <w:t>Raktár, adattár, könyvtár</w:t>
            </w:r>
          </w:p>
        </w:tc>
        <w:tc>
          <w:tcPr>
            <w:tcW w:w="2270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bCs/>
                <w:lang w:eastAsia="hu-HU"/>
              </w:rPr>
              <w:t>4440 Tiszavasvári, Ady Endre utca 8.</w:t>
            </w:r>
          </w:p>
        </w:tc>
      </w:tr>
    </w:tbl>
    <w:p w:rsidR="00AE4B92" w:rsidRPr="00EF04C1" w:rsidRDefault="00AE4B92" w:rsidP="00AE4B9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alapításának dátuma:</w:t>
      </w:r>
      <w:r w:rsidRPr="00EF04C1">
        <w:rPr>
          <w:rFonts w:ascii="Cambria" w:eastAsia="Calibri" w:hAnsi="Cambria" w:cs="Cambria"/>
          <w:bCs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bCs/>
          <w:szCs w:val="20"/>
          <w:lang w:eastAsia="hu-HU"/>
        </w:rPr>
        <w:t>2016. április 1</w:t>
      </w:r>
      <w:r w:rsidRPr="00EF04C1">
        <w:rPr>
          <w:rFonts w:ascii="Cambria" w:eastAsia="Calibri" w:hAnsi="Cambria" w:cs="Cambria"/>
          <w:szCs w:val="20"/>
          <w:lang w:eastAsia="hu-HU"/>
        </w:rPr>
        <w:t>.</w:t>
      </w: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AE4B92" w:rsidRPr="00EF04C1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AE4B92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AE4B92" w:rsidRPr="003D7E5A" w:rsidRDefault="00AE4B92" w:rsidP="00AE4B92">
      <w:pPr>
        <w:tabs>
          <w:tab w:val="left" w:leader="dot" w:pos="9072"/>
        </w:tabs>
        <w:spacing w:before="80" w:after="0" w:line="240" w:lineRule="auto"/>
        <w:ind w:left="1224"/>
        <w:jc w:val="both"/>
        <w:rPr>
          <w:rFonts w:asciiTheme="majorHAnsi" w:eastAsia="Times New Roman" w:hAnsiTheme="majorHAnsi" w:cs="Times New Roman"/>
          <w:lang w:eastAsia="hu-HU"/>
        </w:rPr>
      </w:pP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lang w:eastAsia="hu-HU"/>
              </w:rPr>
              <w:t>Művelődési Központ és Könyvtár</w:t>
            </w:r>
          </w:p>
        </w:tc>
        <w:tc>
          <w:tcPr>
            <w:tcW w:w="2270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4440 Tiszavasvári, Szabadság tér 1.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7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Vasvári Pál Múzeum</w:t>
            </w:r>
          </w:p>
        </w:tc>
        <w:tc>
          <w:tcPr>
            <w:tcW w:w="2270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4440 Tiszavasvári, Kálvin utca 7.</w:t>
            </w:r>
          </w:p>
        </w:tc>
      </w:tr>
    </w:tbl>
    <w:p w:rsidR="00AE4B92" w:rsidRPr="00EF04C1" w:rsidRDefault="00AE4B92" w:rsidP="00AE4B9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irányítása, felügyelete</w:t>
      </w: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EF04C1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EF04C1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AE4B92" w:rsidRPr="00EF04C1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megnevezése: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Önkormányzata Képviselő-testülete</w:t>
      </w:r>
    </w:p>
    <w:p w:rsidR="00AE4B92" w:rsidRPr="00EF04C1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4440 Tiszavasvári, Városháza tér 4.</w:t>
      </w: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AE4B92" w:rsidRPr="00EF04C1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 xml:space="preserve"> megnevezése: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Önkormányzata</w:t>
      </w:r>
    </w:p>
    <w:p w:rsidR="00AE4B92" w:rsidRPr="00EF04C1" w:rsidRDefault="00AE4B92" w:rsidP="00AE4B9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4440 Tiszavasvári, Városháza tér 4.</w:t>
      </w:r>
    </w:p>
    <w:p w:rsidR="00AE4B92" w:rsidRPr="00EF04C1" w:rsidRDefault="00AE4B92" w:rsidP="00AE4B9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közfeladata: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Önkormányzata Magyarország helyi önkormányzatairól szóló 2011. évi CLXXXIX. tv. 13.§ (1) bekezdés 7. pontjában, valamint a muzeális intézményekről, a nyilvános könyvtári ellátásról és a közművelődésről szóló 1997. évi CXL tv. 55.§, 65. és 76.§</w:t>
      </w:r>
      <w:proofErr w:type="spellStart"/>
      <w:r w:rsidRPr="00EF04C1">
        <w:rPr>
          <w:rFonts w:asciiTheme="majorHAnsi" w:eastAsia="Times New Roman" w:hAnsiTheme="majorHAnsi" w:cs="Times New Roman"/>
          <w:lang w:eastAsia="hu-HU"/>
        </w:rPr>
        <w:t>-aiban</w:t>
      </w:r>
      <w:proofErr w:type="spellEnd"/>
      <w:r w:rsidRPr="00EF04C1">
        <w:rPr>
          <w:rFonts w:asciiTheme="majorHAnsi" w:eastAsia="Times New Roman" w:hAnsiTheme="majorHAnsi" w:cs="Times New Roman"/>
          <w:lang w:eastAsia="hu-HU"/>
        </w:rPr>
        <w:t xml:space="preserve"> meghatározott önkormányzati közgyűjteményi és közművelődési tevékenységek folyamatos ellátására nyilvános könyvtárat és közművelődési intézményt működtet. A 2012. évi CLII. tv. 37/A.§, 42.§ és 46.§</w:t>
      </w:r>
      <w:proofErr w:type="spellStart"/>
      <w:r w:rsidRPr="00EF04C1">
        <w:rPr>
          <w:rFonts w:asciiTheme="majorHAnsi" w:eastAsia="Times New Roman" w:hAnsiTheme="majorHAnsi" w:cs="Times New Roman"/>
          <w:lang w:eastAsia="hu-HU"/>
        </w:rPr>
        <w:t>-ai</w:t>
      </w:r>
      <w:proofErr w:type="spellEnd"/>
      <w:r w:rsidRPr="00EF04C1">
        <w:rPr>
          <w:rFonts w:asciiTheme="majorHAnsi" w:eastAsia="Times New Roman" w:hAnsiTheme="majorHAnsi" w:cs="Times New Roman"/>
          <w:lang w:eastAsia="hu-HU"/>
        </w:rPr>
        <w:t xml:space="preserve">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ellátásáról.</w:t>
      </w:r>
    </w:p>
    <w:p w:rsidR="00AE4B92" w:rsidRPr="00EF04C1" w:rsidRDefault="00AE4B92" w:rsidP="00AE4B92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910110</w:t>
            </w:r>
          </w:p>
        </w:tc>
        <w:tc>
          <w:tcPr>
            <w:tcW w:w="3416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Közművelődési intézmények tevékenysége</w:t>
            </w:r>
          </w:p>
        </w:tc>
      </w:tr>
    </w:tbl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alaptevékenysége: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 xml:space="preserve">a muzeális intézményekről, a nyilvános könyvtári ellátásról, és a közművelődésről szóló 1997. évi CXL törvény szerinti közművelődési és könyvtári és múzeumi gyűjteményi tevékenység. Feladata a működési engedélyében meghatározott gyűjtőkörébe tartozó kulturális javak gyűjteménygondozása, tudományos feldolgozása és publikálása, valamint hozzáférhetővé tétele. Ennek keretében: 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 Biztosítja a nyilvántartásában lévő kulturális javakhoz való hozzáférést az alábbiak szerint: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4.3.1.1. A kulturális javak egységes szaktudományos szempontok szerint, tudományos szaktevékenység keretében kialakított, nyilvántartott és dokumentált együttesét őrzi, gondozza és kiállításon bemutatja;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4.3.1.2. Biztosítja a kulturális javakhoz kapcsolódó kutatási tevékenység lehetőségét;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4.3.1.3. Kultúraközvetítő, közművelődési tevékenységével hozzájárul az egész életen át tartó tanulás folyamatához;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4.3.1.4. Közművelődési rendezvényeket és egyéb programokat rendez;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4.3.1.5. Együttműködik a nevelési-oktatási intézményekkel és múzeumpedagógiai programjaival segíti az iskolai és iskolán kívüli nevelés céljainak elérését;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4.3.1.6. Elvégzi a kulturális javak múzeumpedagógiai célú feldolgozását, folyamatosan megújuló múzeumpedagógiai és múzeumandragógiai programkínálatot biztosít;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lastRenderedPageBreak/>
        <w:t>4.3.1.7. Az intézmény turisztikai vonzerejének felhasználásával, a látogatóknak nyújtandó szolgáltatásokkal helyi és országos szinten elősegíti a gazdaság élénkítését.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4.3.2. Feladata ellátásában együttműködik muzeális intézményekkel, a kulturális örökség más értékeit gondozó intézményekkel, így különösen a könyvtárakkal, levéltárakkal és a közművelődés intézményeivel, továbbá tudományos köztestületekkel, a köznevelés és a felsőoktatás, valamint a szakképzés intézményeivel.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4.3.3. Szabad kapacitásai terhére kiállítások megrendezésével, kulturális javak kölcsönzésével, valamint tudományos, állományvédelmi és közönségkapcsolati tevékenységgel kapcsolatos szolgáltatást nyújthat.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 Gyűjtőterületére kiterjedően a megyei hatókörű városi múzeummal kötött megállapodás alapján elláthatja a megyei hatókörű városi múzeum alábbi feladatait, vagy azok egy részét: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4.3.4.1. Gyűjtőkörében szakmai tanácsadást folytat a muzeális intézmények szakmai együttműködése, munkájuk összehangolása, valamint az egyéb kulturális javak védelme érdekében;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4.3.4.2. Részt vesz a szellemi kulturális örökség védelmével kapcsolatos helyi tevékenységek koordinálásában és szakmai támogatásában;</w:t>
      </w:r>
    </w:p>
    <w:p w:rsidR="00AE4B92" w:rsidRPr="00EF04C1" w:rsidRDefault="00AE4B92" w:rsidP="00AE4B92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4.3.4.3. Muzeológiai, múzeumpedagógiai, képzési és restaurálási szakmai-módszertani központként működik.</w:t>
      </w: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AE4B92" w:rsidRPr="00EF04C1" w:rsidTr="00C57209">
        <w:tblPrEx>
          <w:jc w:val="left"/>
        </w:tblPrEx>
        <w:tc>
          <w:tcPr>
            <w:tcW w:w="363" w:type="pct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081030</w:t>
            </w:r>
          </w:p>
        </w:tc>
        <w:tc>
          <w:tcPr>
            <w:tcW w:w="3263" w:type="pct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Sportlétesítmények, edzőtáborok működtetése és fejlesztése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082030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Művészeti tevékenységek (kivéve: színház)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082042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Könyvtári állomány gyarapítása, nyilvántartása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082043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Könyvtári állomány feltárása, megőrzése, védelme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082044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Könyvtári szolgáltatások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082061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gyűjteményi tevékenység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082062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tudományos feldolgozó és publikációs tevékenység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082063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kiállítási tevékenység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082064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közművelődési, közönségkapcsolati tevékenység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082070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Történelmi hely, építmény, egyéb látványosság működtetése és megóvása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082091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 - közösségi és társadalmi részvétel fejlesztése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082092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 - hagyományos közösségi kulturális értékek gondozása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082094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 - kulturális alapú gazdaságfejlesztés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083020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Könyvkiadás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083030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Egyéb kiadói tevékenység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086030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Nemzetközi kulturális együttműködés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086090</w:t>
            </w:r>
          </w:p>
        </w:tc>
        <w:tc>
          <w:tcPr>
            <w:tcW w:w="32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Egyéb szabadidős szolgáltatás</w:t>
            </w:r>
          </w:p>
        </w:tc>
      </w:tr>
    </w:tbl>
    <w:p w:rsidR="00AE4B92" w:rsidRPr="003D7E5A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illetékessége, működési területe: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 xml:space="preserve">Tiszavasvári Város közigazgatási területe </w:t>
      </w:r>
      <w:proofErr w:type="gramStart"/>
      <w:r w:rsidRPr="00EF04C1">
        <w:rPr>
          <w:rFonts w:asciiTheme="majorHAnsi" w:eastAsia="Times New Roman" w:hAnsiTheme="majorHAnsi" w:cs="Times New Roman"/>
          <w:lang w:eastAsia="hu-HU"/>
        </w:rPr>
        <w:t>A</w:t>
      </w:r>
      <w:proofErr w:type="gramEnd"/>
      <w:r w:rsidRPr="00EF04C1">
        <w:rPr>
          <w:rFonts w:asciiTheme="majorHAnsi" w:eastAsia="Times New Roman" w:hAnsiTheme="majorHAnsi" w:cs="Times New Roman"/>
          <w:lang w:eastAsia="hu-HU"/>
        </w:rPr>
        <w:t xml:space="preserve"> múzeumi tevékenységre vonatkozóan a gyűjtőterület kiterjed Tiszavasvári járás közigazgatási területére (Tiszavasvári, Tiszalök, Tiszaeszlár, Tiszadada, Tiszadob, Szorgalmatos)</w:t>
      </w:r>
    </w:p>
    <w:p w:rsidR="00AE4B92" w:rsidRPr="00EF04C1" w:rsidRDefault="00AE4B92" w:rsidP="00AE4B9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szervezete és működése</w:t>
      </w: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vezetőjének megbízási rendje: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 xml:space="preserve">Az intézmény egyszemélyi felelős vezetője az igazgató. Az igazgató kinevezése és felmentése Tiszavasvári Város Önkormányzata Képviselő-testületének hatásköre. Kinevezése nyilvános pályázat eredménye alapján 5 év határozott időtartamra szól. A vezetői munkaviszonyt a Munka Törvénykönyvéről szóló 2012. évi I. </w:t>
      </w:r>
      <w:proofErr w:type="gramStart"/>
      <w:r w:rsidRPr="00EF04C1">
        <w:rPr>
          <w:rFonts w:asciiTheme="majorHAnsi" w:eastAsia="Times New Roman" w:hAnsiTheme="majorHAnsi" w:cs="Times New Roman"/>
          <w:lang w:eastAsia="hu-HU"/>
        </w:rPr>
        <w:t>törvény vezető</w:t>
      </w:r>
      <w:proofErr w:type="gramEnd"/>
      <w:r w:rsidRPr="00EF04C1">
        <w:rPr>
          <w:rFonts w:asciiTheme="majorHAnsi" w:eastAsia="Times New Roman" w:hAnsiTheme="majorHAnsi" w:cs="Times New Roman"/>
          <w:lang w:eastAsia="hu-HU"/>
        </w:rPr>
        <w:t xml:space="preserve"> állású munkavállalóra vonatkozó rendelkezései, illetve a 2020. évi XXXII. törvény és annak végrehajtási rendelete alkalmazásával kell létesíteni. Az egyéb munkáltatói jogokat a polgármester gyakorolja.</w:t>
      </w:r>
    </w:p>
    <w:p w:rsidR="00AE4B92" w:rsidRPr="00EF04C1" w:rsidRDefault="00AE4B92" w:rsidP="00AE4B9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AE4B92" w:rsidRPr="00EF04C1" w:rsidRDefault="00AE4B92" w:rsidP="00AE4B92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AE4B92" w:rsidRPr="00EF04C1" w:rsidRDefault="00AE4B92" w:rsidP="00AE4B92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a Munka Törvénykönyvéről szóló 2012. évi I. törvény</w:t>
            </w:r>
          </w:p>
        </w:tc>
      </w:tr>
      <w:tr w:rsidR="00AE4B92" w:rsidRPr="00EF04C1" w:rsidTr="00C57209">
        <w:trPr>
          <w:jc w:val="center"/>
        </w:trPr>
        <w:tc>
          <w:tcPr>
            <w:tcW w:w="36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:rsidR="00AE4B92" w:rsidRPr="00EF04C1" w:rsidRDefault="00AE4B92" w:rsidP="00C5720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a Polgári Törvénykönyvről szóló 2013. évi V. törvény</w:t>
            </w:r>
          </w:p>
        </w:tc>
      </w:tr>
    </w:tbl>
    <w:p w:rsidR="00AE4B92" w:rsidRPr="00EF04C1" w:rsidRDefault="00AE4B92" w:rsidP="00AE4B92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lang w:eastAsia="hu-HU"/>
        </w:rPr>
      </w:pPr>
    </w:p>
    <w:p w:rsidR="00AE4B92" w:rsidRDefault="00AE4B92" w:rsidP="00AE4B92"/>
    <w:p w:rsidR="00AE4B92" w:rsidRDefault="00AE4B92" w:rsidP="00AE4B92"/>
    <w:p w:rsidR="00AE4B92" w:rsidRDefault="00AE4B92" w:rsidP="00AE4B92"/>
    <w:p w:rsidR="00AE4B92" w:rsidRDefault="00AE4B92" w:rsidP="00AE4B92"/>
    <w:p w:rsidR="00AE4B92" w:rsidRDefault="00AE4B92" w:rsidP="00AE4B92"/>
    <w:p w:rsidR="00AE4B92" w:rsidRDefault="00AE4B92" w:rsidP="00AE4B92"/>
    <w:p w:rsidR="00AE4B92" w:rsidRDefault="00AE4B92" w:rsidP="00AE4B92"/>
    <w:p w:rsidR="00AE4B92" w:rsidRDefault="00AE4B92" w:rsidP="00AE4B92"/>
    <w:p w:rsidR="00AE4B92" w:rsidRPr="00181F33" w:rsidRDefault="00AE4B92" w:rsidP="00AE4B92"/>
    <w:p w:rsidR="00AE4B92" w:rsidRPr="00830BB2" w:rsidRDefault="00AE4B92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E4B92" w:rsidRPr="00830B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99" w:rsidRDefault="00914099" w:rsidP="00F2664F">
      <w:pPr>
        <w:spacing w:after="0" w:line="240" w:lineRule="auto"/>
      </w:pPr>
      <w:r>
        <w:separator/>
      </w:r>
    </w:p>
  </w:endnote>
  <w:endnote w:type="continuationSeparator" w:id="0">
    <w:p w:rsidR="00914099" w:rsidRDefault="00914099" w:rsidP="00F2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774211"/>
      <w:docPartObj>
        <w:docPartGallery w:val="Page Numbers (Bottom of Page)"/>
        <w:docPartUnique/>
      </w:docPartObj>
    </w:sdtPr>
    <w:sdtEndPr/>
    <w:sdtContent>
      <w:p w:rsidR="00F2664F" w:rsidRDefault="00F2664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B9C">
          <w:rPr>
            <w:noProof/>
          </w:rPr>
          <w:t>8</w:t>
        </w:r>
        <w:r>
          <w:fldChar w:fldCharType="end"/>
        </w:r>
      </w:p>
    </w:sdtContent>
  </w:sdt>
  <w:p w:rsidR="00F2664F" w:rsidRDefault="00F266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99" w:rsidRDefault="00914099" w:rsidP="00F2664F">
      <w:pPr>
        <w:spacing w:after="0" w:line="240" w:lineRule="auto"/>
      </w:pPr>
      <w:r>
        <w:separator/>
      </w:r>
    </w:p>
  </w:footnote>
  <w:footnote w:type="continuationSeparator" w:id="0">
    <w:p w:rsidR="00914099" w:rsidRDefault="00914099" w:rsidP="00F2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C8"/>
    <w:multiLevelType w:val="hybridMultilevel"/>
    <w:tmpl w:val="844E1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65A334A"/>
    <w:multiLevelType w:val="hybridMultilevel"/>
    <w:tmpl w:val="5E6CD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0113E"/>
    <w:multiLevelType w:val="hybridMultilevel"/>
    <w:tmpl w:val="ED880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A1724"/>
    <w:multiLevelType w:val="hybridMultilevel"/>
    <w:tmpl w:val="F2C2AA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83FF7"/>
    <w:multiLevelType w:val="hybridMultilevel"/>
    <w:tmpl w:val="E25458BA"/>
    <w:lvl w:ilvl="0" w:tplc="25104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93E56"/>
    <w:multiLevelType w:val="hybridMultilevel"/>
    <w:tmpl w:val="A7DAEB46"/>
    <w:lvl w:ilvl="0" w:tplc="0A06E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6F"/>
    <w:rsid w:val="000F1BC6"/>
    <w:rsid w:val="00180BA7"/>
    <w:rsid w:val="001F0CC7"/>
    <w:rsid w:val="00232BBD"/>
    <w:rsid w:val="002922EB"/>
    <w:rsid w:val="002B0A05"/>
    <w:rsid w:val="002D3AE9"/>
    <w:rsid w:val="00490CBF"/>
    <w:rsid w:val="004B294E"/>
    <w:rsid w:val="005212AE"/>
    <w:rsid w:val="00543BF3"/>
    <w:rsid w:val="00564B19"/>
    <w:rsid w:val="005970A1"/>
    <w:rsid w:val="005A51DB"/>
    <w:rsid w:val="005E47DB"/>
    <w:rsid w:val="005F7434"/>
    <w:rsid w:val="006C47FF"/>
    <w:rsid w:val="006C4EB2"/>
    <w:rsid w:val="006C7B9C"/>
    <w:rsid w:val="006D40E2"/>
    <w:rsid w:val="00737F4C"/>
    <w:rsid w:val="0081240A"/>
    <w:rsid w:val="0081542C"/>
    <w:rsid w:val="00817160"/>
    <w:rsid w:val="00830BB2"/>
    <w:rsid w:val="008E7CE8"/>
    <w:rsid w:val="00914099"/>
    <w:rsid w:val="00922071"/>
    <w:rsid w:val="009267E4"/>
    <w:rsid w:val="009461FF"/>
    <w:rsid w:val="00A51FEF"/>
    <w:rsid w:val="00A7092B"/>
    <w:rsid w:val="00AC44C6"/>
    <w:rsid w:val="00AE4B92"/>
    <w:rsid w:val="00B204C8"/>
    <w:rsid w:val="00B47F39"/>
    <w:rsid w:val="00BD09DA"/>
    <w:rsid w:val="00BF40D0"/>
    <w:rsid w:val="00C34226"/>
    <w:rsid w:val="00C65871"/>
    <w:rsid w:val="00CB2D15"/>
    <w:rsid w:val="00CC669F"/>
    <w:rsid w:val="00D16524"/>
    <w:rsid w:val="00D53B6F"/>
    <w:rsid w:val="00D60DA4"/>
    <w:rsid w:val="00DE2D53"/>
    <w:rsid w:val="00F02BD0"/>
    <w:rsid w:val="00F2664F"/>
    <w:rsid w:val="00F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B6F"/>
    <w:pPr>
      <w:ind w:left="720"/>
      <w:contextualSpacing/>
    </w:pPr>
  </w:style>
  <w:style w:type="table" w:styleId="Rcsostblzat">
    <w:name w:val="Table Grid"/>
    <w:basedOn w:val="Norml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5212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AE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64F"/>
  </w:style>
  <w:style w:type="paragraph" w:styleId="llb">
    <w:name w:val="footer"/>
    <w:basedOn w:val="Norml"/>
    <w:link w:val="llbChar"/>
    <w:uiPriority w:val="99"/>
    <w:unhideWhenUsed/>
    <w:rsid w:val="00F2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64F"/>
  </w:style>
  <w:style w:type="table" w:customStyle="1" w:styleId="Rcsostblzat111">
    <w:name w:val="Rácsos táblázat111"/>
    <w:basedOn w:val="Normltblzat"/>
    <w:next w:val="Rcsostblzat"/>
    <w:uiPriority w:val="59"/>
    <w:rsid w:val="006C7B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1">
    <w:name w:val="Rácsos táblázat1111"/>
    <w:basedOn w:val="Normltblzat"/>
    <w:uiPriority w:val="59"/>
    <w:rsid w:val="006C7B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B6F"/>
    <w:pPr>
      <w:ind w:left="720"/>
      <w:contextualSpacing/>
    </w:pPr>
  </w:style>
  <w:style w:type="table" w:styleId="Rcsostblzat">
    <w:name w:val="Table Grid"/>
    <w:basedOn w:val="Norml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5212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AE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64F"/>
  </w:style>
  <w:style w:type="paragraph" w:styleId="llb">
    <w:name w:val="footer"/>
    <w:basedOn w:val="Norml"/>
    <w:link w:val="llbChar"/>
    <w:uiPriority w:val="99"/>
    <w:unhideWhenUsed/>
    <w:rsid w:val="00F2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64F"/>
  </w:style>
  <w:style w:type="table" w:customStyle="1" w:styleId="Rcsostblzat111">
    <w:name w:val="Rácsos táblázat111"/>
    <w:basedOn w:val="Normltblzat"/>
    <w:next w:val="Rcsostblzat"/>
    <w:uiPriority w:val="59"/>
    <w:rsid w:val="006C7B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1">
    <w:name w:val="Rácsos táblázat1111"/>
    <w:basedOn w:val="Normltblzat"/>
    <w:uiPriority w:val="59"/>
    <w:rsid w:val="006C7B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7ED8-1601-4C63-A111-B58331E9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1685</Words>
  <Characters>11632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Krasznainé</dc:creator>
  <cp:lastModifiedBy>dr. Csomós Anita</cp:lastModifiedBy>
  <cp:revision>38</cp:revision>
  <cp:lastPrinted>2020-12-17T08:23:00Z</cp:lastPrinted>
  <dcterms:created xsi:type="dcterms:W3CDTF">2020-11-13T09:39:00Z</dcterms:created>
  <dcterms:modified xsi:type="dcterms:W3CDTF">2021-02-11T06:50:00Z</dcterms:modified>
</cp:coreProperties>
</file>