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7428" w:rsidRPr="0042494A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42494A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4B7428" w:rsidRDefault="004B7428" w:rsidP="004B74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4B7428" w:rsidRDefault="004B7428" w:rsidP="004B7428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6" w:history="1">
        <w:r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val="en-US" w:eastAsia="hu-HU"/>
          </w:rPr>
          <w:t>tvonkph@tiszavasvari.hu</w:t>
        </w:r>
      </w:hyperlink>
    </w:p>
    <w:p w:rsidR="004B7428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TPH/</w:t>
      </w:r>
      <w:r w:rsidR="00705034">
        <w:rPr>
          <w:rFonts w:ascii="Times New Roman" w:hAnsi="Times New Roman" w:cs="Times New Roman"/>
          <w:color w:val="000000" w:themeColor="text1"/>
          <w:sz w:val="24"/>
          <w:szCs w:val="24"/>
        </w:rPr>
        <w:t>904-1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1704C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B7428" w:rsidRPr="00F31335" w:rsidRDefault="003F523A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="00F661B0"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="004B7428"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/202</w:t>
      </w:r>
      <w:r w:rsidR="001704C6"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1</w:t>
      </w:r>
      <w:r w:rsidR="004B7428"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.</w:t>
      </w:r>
    </w:p>
    <w:p w:rsidR="004B7428" w:rsidRPr="00F31335" w:rsidRDefault="004B7428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4B7428" w:rsidRDefault="004B7428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HATÁROZAT</w:t>
      </w:r>
    </w:p>
    <w:p w:rsidR="00F31335" w:rsidRPr="00F31335" w:rsidRDefault="00F31335" w:rsidP="00F563B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4B7428" w:rsidRPr="00F31335" w:rsidRDefault="004B7428" w:rsidP="00F31335">
      <w:pPr>
        <w:pStyle w:val="Listaszerbekezds"/>
        <w:numPr>
          <w:ilvl w:val="0"/>
          <w:numId w:val="15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veszélyhelyzetben átruházott hatáskörben meghozott döntésről </w:t>
      </w: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-</w:t>
      </w:r>
    </w:p>
    <w:p w:rsidR="00DD6C82" w:rsidRPr="00F31335" w:rsidRDefault="00705034" w:rsidP="00F563B0">
      <w:pPr>
        <w:spacing w:after="0" w:line="240" w:lineRule="auto"/>
        <w:jc w:val="center"/>
        <w:rPr>
          <w:rFonts w:ascii="Times New Roman" w:hAnsi="Times New Roman" w:cs="Times New Roman"/>
          <w:b/>
          <w:sz w:val="23"/>
          <w:szCs w:val="23"/>
        </w:rPr>
      </w:pPr>
      <w:proofErr w:type="gramStart"/>
      <w:r w:rsidRPr="00F31335">
        <w:rPr>
          <w:rFonts w:ascii="Times New Roman" w:hAnsi="Times New Roman" w:cs="Times New Roman"/>
          <w:b/>
          <w:sz w:val="23"/>
          <w:szCs w:val="23"/>
        </w:rPr>
        <w:t>önkormányzati</w:t>
      </w:r>
      <w:proofErr w:type="gramEnd"/>
      <w:r w:rsidRPr="00F3133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F523A" w:rsidRPr="00F31335">
        <w:rPr>
          <w:rFonts w:ascii="Times New Roman" w:hAnsi="Times New Roman" w:cs="Times New Roman"/>
          <w:b/>
          <w:sz w:val="23"/>
          <w:szCs w:val="23"/>
        </w:rPr>
        <w:t xml:space="preserve">tulajdonú </w:t>
      </w:r>
      <w:r w:rsidRPr="00F31335">
        <w:rPr>
          <w:rFonts w:ascii="Times New Roman" w:hAnsi="Times New Roman" w:cs="Times New Roman"/>
          <w:b/>
          <w:sz w:val="23"/>
          <w:szCs w:val="23"/>
        </w:rPr>
        <w:t>zártkerti ingatlanok értékesítéséről</w:t>
      </w:r>
    </w:p>
    <w:p w:rsidR="004B7428" w:rsidRPr="00F31335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4B7428" w:rsidRPr="00F31335" w:rsidRDefault="004B7428" w:rsidP="004B742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B7428" w:rsidRPr="00F31335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katasztrófavédelemről és a hozzá kapcsolódó egyes törvények módosításáról szóló 2011. évi CXXVIII. törvény 46. § (4) bekezdésében biztosított jogkörömben, Tiszavasvári Város Önkormányzata Képviselő-testülete helyett átruházott hatáskörben eljárva, az alábbi határozatot hozom: </w:t>
      </w:r>
    </w:p>
    <w:p w:rsidR="004B7428" w:rsidRPr="00F31335" w:rsidRDefault="004B7428" w:rsidP="004B74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00000" w:themeColor="text1"/>
          <w:sz w:val="23"/>
          <w:szCs w:val="23"/>
          <w:lang w:eastAsia="hu-HU"/>
        </w:rPr>
      </w:pPr>
    </w:p>
    <w:p w:rsidR="003B6EC1" w:rsidRPr="00F31335" w:rsidRDefault="00600E7A" w:rsidP="001A6FBA">
      <w:pPr>
        <w:pStyle w:val="StlusSorkizrtBal032cm"/>
        <w:spacing w:before="0" w:after="0"/>
        <w:rPr>
          <w:sz w:val="23"/>
          <w:szCs w:val="23"/>
        </w:rPr>
      </w:pPr>
      <w:r w:rsidRPr="00F31335">
        <w:rPr>
          <w:sz w:val="23"/>
          <w:szCs w:val="23"/>
        </w:rPr>
        <w:t>Tiszavasvári Város</w:t>
      </w:r>
      <w:r w:rsidR="009B2BE7" w:rsidRPr="00F31335">
        <w:rPr>
          <w:sz w:val="23"/>
          <w:szCs w:val="23"/>
        </w:rPr>
        <w:t xml:space="preserve"> </w:t>
      </w:r>
      <w:r w:rsidRPr="00F31335">
        <w:rPr>
          <w:sz w:val="23"/>
          <w:szCs w:val="23"/>
        </w:rPr>
        <w:t>Önkormányzatának</w:t>
      </w:r>
      <w:r w:rsidR="003B6EC1" w:rsidRPr="00F31335">
        <w:rPr>
          <w:sz w:val="23"/>
          <w:szCs w:val="23"/>
        </w:rPr>
        <w:t xml:space="preserve"> </w:t>
      </w:r>
      <w:r w:rsidR="003B6EC1" w:rsidRPr="00F31335">
        <w:rPr>
          <w:b/>
          <w:sz w:val="23"/>
          <w:szCs w:val="23"/>
        </w:rPr>
        <w:t>szándékában áll értékesíteni</w:t>
      </w:r>
      <w:r w:rsidR="003B6EC1" w:rsidRPr="00F31335">
        <w:rPr>
          <w:sz w:val="23"/>
          <w:szCs w:val="23"/>
        </w:rPr>
        <w:t xml:space="preserve"> a</w:t>
      </w:r>
      <w:r w:rsidR="0051065D" w:rsidRPr="00F31335">
        <w:rPr>
          <w:sz w:val="23"/>
          <w:szCs w:val="23"/>
        </w:rPr>
        <w:t xml:space="preserve"> táblázatban feltüntetett </w:t>
      </w:r>
      <w:r w:rsidRPr="00F31335">
        <w:rPr>
          <w:sz w:val="23"/>
          <w:szCs w:val="23"/>
        </w:rPr>
        <w:t>t</w:t>
      </w:r>
      <w:r w:rsidR="003B6EC1" w:rsidRPr="00F31335">
        <w:rPr>
          <w:sz w:val="23"/>
          <w:szCs w:val="23"/>
        </w:rPr>
        <w:t>iszavasvári</w:t>
      </w:r>
      <w:r w:rsidRPr="00F31335">
        <w:rPr>
          <w:sz w:val="23"/>
          <w:szCs w:val="23"/>
        </w:rPr>
        <w:t xml:space="preserve"> z</w:t>
      </w:r>
      <w:r w:rsidR="00857AC4" w:rsidRPr="00F31335">
        <w:rPr>
          <w:sz w:val="23"/>
          <w:szCs w:val="23"/>
        </w:rPr>
        <w:t xml:space="preserve">ártkerti </w:t>
      </w:r>
      <w:proofErr w:type="gramStart"/>
      <w:r w:rsidR="00857AC4" w:rsidRPr="00F31335">
        <w:rPr>
          <w:sz w:val="23"/>
          <w:szCs w:val="23"/>
        </w:rPr>
        <w:t xml:space="preserve">ingatlanokat </w:t>
      </w:r>
      <w:r w:rsidR="006677D5">
        <w:rPr>
          <w:b/>
          <w:sz w:val="23"/>
          <w:szCs w:val="23"/>
        </w:rPr>
        <w:t>…</w:t>
      </w:r>
      <w:proofErr w:type="gramEnd"/>
      <w:r w:rsidRPr="00F31335">
        <w:rPr>
          <w:b/>
          <w:sz w:val="23"/>
          <w:szCs w:val="23"/>
        </w:rPr>
        <w:t xml:space="preserve"> Tiszavasvári, </w:t>
      </w:r>
      <w:r w:rsidR="006677D5">
        <w:rPr>
          <w:b/>
          <w:sz w:val="23"/>
          <w:szCs w:val="23"/>
        </w:rPr>
        <w:t>…</w:t>
      </w:r>
      <w:r w:rsidR="00857AC4" w:rsidRPr="00F31335">
        <w:rPr>
          <w:b/>
          <w:sz w:val="23"/>
          <w:szCs w:val="23"/>
        </w:rPr>
        <w:t>.</w:t>
      </w:r>
      <w:r w:rsidR="003B6EC1" w:rsidRPr="00F31335">
        <w:rPr>
          <w:b/>
          <w:sz w:val="23"/>
          <w:szCs w:val="23"/>
        </w:rPr>
        <w:t xml:space="preserve"> </w:t>
      </w:r>
      <w:r w:rsidR="003B6EC1" w:rsidRPr="00F31335">
        <w:rPr>
          <w:sz w:val="23"/>
          <w:szCs w:val="23"/>
        </w:rPr>
        <w:t>sz. alatti</w:t>
      </w:r>
      <w:r w:rsidR="00857AC4" w:rsidRPr="00F31335">
        <w:rPr>
          <w:sz w:val="23"/>
          <w:szCs w:val="23"/>
        </w:rPr>
        <w:t xml:space="preserve"> lakos részére</w:t>
      </w:r>
      <w:r w:rsidR="00664166" w:rsidRPr="00F31335">
        <w:rPr>
          <w:sz w:val="23"/>
          <w:szCs w:val="23"/>
        </w:rPr>
        <w:t xml:space="preserve"> </w:t>
      </w:r>
      <w:r w:rsidR="006677D5">
        <w:rPr>
          <w:sz w:val="23"/>
          <w:szCs w:val="23"/>
        </w:rPr>
        <w:t>…</w:t>
      </w:r>
      <w:r w:rsidR="00B432CB" w:rsidRPr="00F31335">
        <w:rPr>
          <w:sz w:val="23"/>
          <w:szCs w:val="23"/>
        </w:rPr>
        <w:t xml:space="preserve">Ft/AK </w:t>
      </w:r>
      <w:r w:rsidR="00992E8B" w:rsidRPr="00F31335">
        <w:rPr>
          <w:sz w:val="23"/>
          <w:szCs w:val="23"/>
        </w:rPr>
        <w:t>vétel</w:t>
      </w:r>
      <w:r w:rsidR="00857AC4" w:rsidRPr="00F31335">
        <w:rPr>
          <w:sz w:val="23"/>
          <w:szCs w:val="23"/>
        </w:rPr>
        <w:t>árért:</w:t>
      </w:r>
      <w:r w:rsidR="003B6EC1" w:rsidRPr="00F31335">
        <w:rPr>
          <w:sz w:val="23"/>
          <w:szCs w:val="23"/>
        </w:rPr>
        <w:t xml:space="preserve"> </w:t>
      </w:r>
    </w:p>
    <w:p w:rsidR="001A6FBA" w:rsidRPr="00F31335" w:rsidRDefault="001A6FBA" w:rsidP="001A6FBA">
      <w:pPr>
        <w:pStyle w:val="StlusSorkizrtBal032cm"/>
        <w:spacing w:before="0" w:after="0"/>
        <w:rPr>
          <w:sz w:val="23"/>
          <w:szCs w:val="23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377"/>
        <w:gridCol w:w="1458"/>
        <w:gridCol w:w="1701"/>
        <w:gridCol w:w="1701"/>
      </w:tblGrid>
      <w:tr w:rsidR="00D13D44" w:rsidRPr="00F31335" w:rsidTr="00B432CB">
        <w:trPr>
          <w:trHeight w:val="337"/>
        </w:trPr>
        <w:tc>
          <w:tcPr>
            <w:tcW w:w="5954" w:type="dxa"/>
            <w:gridSpan w:val="4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értékesítendő ingatlan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13D44" w:rsidRPr="00F31335" w:rsidRDefault="00D13D44" w:rsidP="00D1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Önkormányzat tulajdoni hányada</w:t>
            </w:r>
          </w:p>
        </w:tc>
        <w:tc>
          <w:tcPr>
            <w:tcW w:w="1701" w:type="dxa"/>
            <w:vMerge w:val="restart"/>
          </w:tcPr>
          <w:p w:rsidR="00D13D44" w:rsidRPr="00F31335" w:rsidRDefault="00992E8B" w:rsidP="00D13D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vételár</w:t>
            </w:r>
            <w:r w:rsidR="00DB63E5"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(Ft)</w:t>
            </w:r>
          </w:p>
        </w:tc>
      </w:tr>
      <w:tr w:rsidR="00D13D44" w:rsidRPr="00F31335" w:rsidTr="00B432CB">
        <w:trPr>
          <w:trHeight w:val="555"/>
        </w:trPr>
        <w:tc>
          <w:tcPr>
            <w:tcW w:w="1701" w:type="dxa"/>
            <w:shd w:val="clear" w:color="auto" w:fill="auto"/>
          </w:tcPr>
          <w:p w:rsidR="00D13D44" w:rsidRPr="00F31335" w:rsidRDefault="00D13D44" w:rsidP="0094092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helyrajzi száma</w:t>
            </w:r>
          </w:p>
        </w:tc>
        <w:tc>
          <w:tcPr>
            <w:tcW w:w="1418" w:type="dxa"/>
            <w:shd w:val="clear" w:color="auto" w:fill="auto"/>
          </w:tcPr>
          <w:p w:rsidR="00D13D44" w:rsidRPr="00F31335" w:rsidRDefault="00D13D44" w:rsidP="0094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művelési ága</w:t>
            </w:r>
          </w:p>
        </w:tc>
        <w:tc>
          <w:tcPr>
            <w:tcW w:w="1377" w:type="dxa"/>
            <w:shd w:val="clear" w:color="auto" w:fill="auto"/>
          </w:tcPr>
          <w:p w:rsidR="00D13D44" w:rsidRPr="00F31335" w:rsidRDefault="00D13D44" w:rsidP="0094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nagysága /m</w:t>
            </w:r>
            <w:r w:rsidRPr="00F31335">
              <w:rPr>
                <w:rFonts w:ascii="Times New Roman" w:hAnsi="Times New Roman" w:cs="Times New Roman"/>
                <w:b/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458" w:type="dxa"/>
            <w:shd w:val="clear" w:color="auto" w:fill="auto"/>
          </w:tcPr>
          <w:p w:rsidR="00D13D44" w:rsidRPr="00F31335" w:rsidRDefault="00D13D44" w:rsidP="009409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aranykorona értéke</w:t>
            </w:r>
          </w:p>
        </w:tc>
        <w:tc>
          <w:tcPr>
            <w:tcW w:w="1701" w:type="dxa"/>
            <w:vMerge/>
            <w:shd w:val="clear" w:color="auto" w:fill="auto"/>
          </w:tcPr>
          <w:p w:rsidR="00D13D44" w:rsidRPr="00F31335" w:rsidRDefault="00D13D44" w:rsidP="0094092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701" w:type="dxa"/>
            <w:vMerge/>
          </w:tcPr>
          <w:p w:rsidR="00D13D44" w:rsidRPr="00F31335" w:rsidRDefault="00D13D44" w:rsidP="00940926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D13D44" w:rsidRPr="00F31335" w:rsidTr="00B432CB"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10320</w:t>
            </w:r>
          </w:p>
        </w:tc>
        <w:tc>
          <w:tcPr>
            <w:tcW w:w="141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kert</w:t>
            </w:r>
          </w:p>
        </w:tc>
        <w:tc>
          <w:tcPr>
            <w:tcW w:w="1377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897</w:t>
            </w:r>
          </w:p>
        </w:tc>
        <w:tc>
          <w:tcPr>
            <w:tcW w:w="145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1.95</w:t>
            </w:r>
          </w:p>
        </w:tc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proofErr w:type="spellStart"/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D13D44" w:rsidRPr="00F31335" w:rsidRDefault="006677D5" w:rsidP="00B432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…</w:t>
            </w:r>
          </w:p>
        </w:tc>
      </w:tr>
      <w:tr w:rsidR="00D13D44" w:rsidRPr="00F31335" w:rsidTr="00B432CB"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10352</w:t>
            </w:r>
          </w:p>
        </w:tc>
        <w:tc>
          <w:tcPr>
            <w:tcW w:w="141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gyümölcsös</w:t>
            </w:r>
          </w:p>
        </w:tc>
        <w:tc>
          <w:tcPr>
            <w:tcW w:w="1377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332</w:t>
            </w:r>
          </w:p>
        </w:tc>
        <w:tc>
          <w:tcPr>
            <w:tcW w:w="145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0.72</w:t>
            </w:r>
          </w:p>
        </w:tc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1/5</w:t>
            </w:r>
          </w:p>
        </w:tc>
        <w:tc>
          <w:tcPr>
            <w:tcW w:w="1701" w:type="dxa"/>
          </w:tcPr>
          <w:p w:rsidR="00D13D44" w:rsidRPr="00F31335" w:rsidRDefault="006677D5" w:rsidP="006677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….</w:t>
            </w:r>
          </w:p>
        </w:tc>
      </w:tr>
      <w:tr w:rsidR="00D13D44" w:rsidRPr="00F31335" w:rsidTr="00B432CB"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10384</w:t>
            </w:r>
          </w:p>
        </w:tc>
        <w:tc>
          <w:tcPr>
            <w:tcW w:w="141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kert</w:t>
            </w:r>
          </w:p>
        </w:tc>
        <w:tc>
          <w:tcPr>
            <w:tcW w:w="1377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389</w:t>
            </w:r>
          </w:p>
        </w:tc>
        <w:tc>
          <w:tcPr>
            <w:tcW w:w="145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0.84</w:t>
            </w:r>
          </w:p>
        </w:tc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proofErr w:type="spellStart"/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D13D44" w:rsidRPr="00F31335" w:rsidRDefault="006677D5" w:rsidP="006677D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…</w:t>
            </w:r>
          </w:p>
        </w:tc>
      </w:tr>
      <w:tr w:rsidR="00D13D44" w:rsidRPr="00F31335" w:rsidTr="00B432CB"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10385</w:t>
            </w:r>
          </w:p>
        </w:tc>
        <w:tc>
          <w:tcPr>
            <w:tcW w:w="141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gyümölcsös</w:t>
            </w:r>
          </w:p>
        </w:tc>
        <w:tc>
          <w:tcPr>
            <w:tcW w:w="1377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268</w:t>
            </w:r>
          </w:p>
        </w:tc>
        <w:tc>
          <w:tcPr>
            <w:tcW w:w="145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0.58</w:t>
            </w:r>
          </w:p>
        </w:tc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proofErr w:type="spellStart"/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D13D44" w:rsidRPr="00F31335" w:rsidRDefault="006677D5" w:rsidP="00B432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…</w:t>
            </w:r>
          </w:p>
        </w:tc>
      </w:tr>
      <w:tr w:rsidR="00D13D44" w:rsidRPr="00F31335" w:rsidTr="00B432CB"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10440</w:t>
            </w:r>
          </w:p>
        </w:tc>
        <w:tc>
          <w:tcPr>
            <w:tcW w:w="141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kert</w:t>
            </w:r>
          </w:p>
        </w:tc>
        <w:tc>
          <w:tcPr>
            <w:tcW w:w="1377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631</w:t>
            </w:r>
          </w:p>
        </w:tc>
        <w:tc>
          <w:tcPr>
            <w:tcW w:w="145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1.37</w:t>
            </w:r>
          </w:p>
        </w:tc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proofErr w:type="spellStart"/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D13D44" w:rsidRPr="00F31335" w:rsidRDefault="006677D5" w:rsidP="00B432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…</w:t>
            </w:r>
          </w:p>
        </w:tc>
      </w:tr>
      <w:tr w:rsidR="00D13D44" w:rsidRPr="00F31335" w:rsidTr="00B432CB"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b/>
                <w:sz w:val="23"/>
                <w:szCs w:val="23"/>
              </w:rPr>
              <w:t>10490</w:t>
            </w:r>
          </w:p>
        </w:tc>
        <w:tc>
          <w:tcPr>
            <w:tcW w:w="141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gyümölcsös</w:t>
            </w:r>
          </w:p>
        </w:tc>
        <w:tc>
          <w:tcPr>
            <w:tcW w:w="1377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947</w:t>
            </w:r>
          </w:p>
        </w:tc>
        <w:tc>
          <w:tcPr>
            <w:tcW w:w="1458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2.05</w:t>
            </w:r>
          </w:p>
        </w:tc>
        <w:tc>
          <w:tcPr>
            <w:tcW w:w="1701" w:type="dxa"/>
            <w:shd w:val="clear" w:color="auto" w:fill="auto"/>
          </w:tcPr>
          <w:p w:rsidR="00D13D44" w:rsidRPr="00F31335" w:rsidRDefault="00D13D44" w:rsidP="001A6F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1/</w:t>
            </w:r>
            <w:proofErr w:type="spellStart"/>
            <w:r w:rsidRPr="00F31335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proofErr w:type="spellEnd"/>
          </w:p>
        </w:tc>
        <w:tc>
          <w:tcPr>
            <w:tcW w:w="1701" w:type="dxa"/>
          </w:tcPr>
          <w:p w:rsidR="00D13D44" w:rsidRPr="00F31335" w:rsidRDefault="006677D5" w:rsidP="00B432C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…</w:t>
            </w:r>
          </w:p>
        </w:tc>
      </w:tr>
    </w:tbl>
    <w:p w:rsidR="00857AC4" w:rsidRPr="00F31335" w:rsidRDefault="00857AC4" w:rsidP="001A6FBA">
      <w:pPr>
        <w:pStyle w:val="StlusSorkizrtBal032cm"/>
        <w:spacing w:before="0" w:after="0"/>
        <w:rPr>
          <w:sz w:val="23"/>
          <w:szCs w:val="23"/>
        </w:rPr>
      </w:pPr>
    </w:p>
    <w:p w:rsidR="00802567" w:rsidRPr="00F31335" w:rsidRDefault="003B6EC1" w:rsidP="004A521B">
      <w:pPr>
        <w:pStyle w:val="StlusSorkizrtBal032cm"/>
        <w:spacing w:before="0" w:after="0"/>
        <w:rPr>
          <w:sz w:val="23"/>
          <w:szCs w:val="23"/>
        </w:rPr>
      </w:pPr>
      <w:r w:rsidRPr="00F31335">
        <w:rPr>
          <w:sz w:val="23"/>
          <w:szCs w:val="23"/>
        </w:rPr>
        <w:t>Az ingatlan</w:t>
      </w:r>
      <w:r w:rsidR="00DB63E5" w:rsidRPr="00F31335">
        <w:rPr>
          <w:sz w:val="23"/>
          <w:szCs w:val="23"/>
        </w:rPr>
        <w:t>ok</w:t>
      </w:r>
      <w:r w:rsidRPr="00F31335">
        <w:rPr>
          <w:sz w:val="23"/>
          <w:szCs w:val="23"/>
        </w:rPr>
        <w:t xml:space="preserve"> megvásárlásához kapcsolódó költségek – adásvételi szerződés elkészítésének ügyvédi költsége, ingatlan-nyilvántartási bejegyeztetés, vagyonszerzési illeték, földhivatali igazgatási díj – a vevőt terhelik.</w:t>
      </w:r>
    </w:p>
    <w:p w:rsidR="004B7428" w:rsidRPr="00F31335" w:rsidRDefault="004B7428" w:rsidP="004B7428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INDOKOLÁS</w:t>
      </w:r>
    </w:p>
    <w:p w:rsidR="003E32C8" w:rsidRPr="00F31335" w:rsidRDefault="003E32C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B7428" w:rsidRPr="00F31335" w:rsidRDefault="006677D5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…</w:t>
      </w:r>
      <w:bookmarkStart w:id="0" w:name="_GoBack"/>
      <w:bookmarkEnd w:id="0"/>
      <w:r w:rsidR="003E32C8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sz. alatti lakos</w:t>
      </w:r>
      <w:r w:rsidR="005171FB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 rendelkező részben </w:t>
      </w:r>
      <w:r w:rsidR="0051065D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szereplő</w:t>
      </w:r>
      <w:r w:rsidR="005171FB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önkormányzati</w:t>
      </w:r>
      <w:r w:rsidR="0051065D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zártkerti</w:t>
      </w:r>
      <w:r w:rsidR="005171FB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ingatlanok </w:t>
      </w:r>
      <w:r w:rsidR="002E0056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vásárlására vonatkozóan </w:t>
      </w:r>
      <w:r w:rsidR="005171FB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kérel</w:t>
      </w:r>
      <w:r w:rsidR="002E0056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emmel fordult</w:t>
      </w:r>
      <w:r w:rsidR="005171FB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az Önkormányzathoz</w:t>
      </w:r>
      <w:r w:rsidR="002E0056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A kérelmező regisztrált földműves, valamint </w:t>
      </w:r>
      <w:r w:rsidR="002B5B6A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családi gazdálkodó</w:t>
      </w:r>
      <w:r w:rsidR="002E0056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.</w:t>
      </w:r>
    </w:p>
    <w:p w:rsidR="003E32C8" w:rsidRPr="00F31335" w:rsidRDefault="003E32C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11C18" w:rsidRPr="00F31335" w:rsidRDefault="005938B5" w:rsidP="00411C18">
      <w:pPr>
        <w:pStyle w:val="Szvegtrzs"/>
        <w:rPr>
          <w:sz w:val="23"/>
          <w:szCs w:val="23"/>
        </w:rPr>
      </w:pPr>
      <w:r w:rsidRPr="00F31335">
        <w:rPr>
          <w:sz w:val="23"/>
          <w:szCs w:val="23"/>
        </w:rPr>
        <w:t xml:space="preserve">A nemzeti vagyonról szóló 2011. évi CXCVI. törvény (továbbiakban: </w:t>
      </w:r>
      <w:proofErr w:type="spellStart"/>
      <w:r w:rsidRPr="00F31335">
        <w:rPr>
          <w:sz w:val="23"/>
          <w:szCs w:val="23"/>
          <w:u w:val="single"/>
        </w:rPr>
        <w:t>Nvtv</w:t>
      </w:r>
      <w:proofErr w:type="spellEnd"/>
      <w:r w:rsidRPr="00F31335">
        <w:rPr>
          <w:sz w:val="23"/>
          <w:szCs w:val="23"/>
          <w:u w:val="single"/>
        </w:rPr>
        <w:t>.) 13.§ (2) bekezdése</w:t>
      </w:r>
      <w:r w:rsidRPr="00F31335">
        <w:rPr>
          <w:sz w:val="23"/>
          <w:szCs w:val="23"/>
        </w:rPr>
        <w:t xml:space="preserve"> értelmében nemzeti vagyon tulajdonjogát átruházni természetes személy vagy átlátható szervezet részére lehet.</w:t>
      </w:r>
    </w:p>
    <w:p w:rsidR="00D42E26" w:rsidRPr="00F31335" w:rsidRDefault="00D42E26" w:rsidP="00411C18">
      <w:pPr>
        <w:pStyle w:val="Szvegtrzs"/>
        <w:rPr>
          <w:sz w:val="23"/>
          <w:szCs w:val="23"/>
        </w:rPr>
      </w:pPr>
    </w:p>
    <w:p w:rsidR="005938B5" w:rsidRPr="00F31335" w:rsidRDefault="005938B5" w:rsidP="00411C18">
      <w:pPr>
        <w:pStyle w:val="Szvegtrzs"/>
        <w:rPr>
          <w:sz w:val="23"/>
          <w:szCs w:val="23"/>
        </w:rPr>
      </w:pPr>
      <w:r w:rsidRPr="00F31335">
        <w:rPr>
          <w:sz w:val="23"/>
          <w:szCs w:val="23"/>
        </w:rPr>
        <w:t xml:space="preserve">Az Önkormányzat vagyonáról és a vagyongazdálkodás szabályairól szóló 31/2013. (X.25.) önkormányzati rendelet (továbbiakban: </w:t>
      </w:r>
      <w:r w:rsidRPr="00F31335">
        <w:rPr>
          <w:sz w:val="23"/>
          <w:szCs w:val="23"/>
          <w:u w:val="single"/>
        </w:rPr>
        <w:t>Vagyonrendelet) 7.§ (1) bekezdése</w:t>
      </w:r>
      <w:r w:rsidRPr="00F31335">
        <w:rPr>
          <w:sz w:val="23"/>
          <w:szCs w:val="23"/>
        </w:rPr>
        <w:t xml:space="preserve"> szerint az ingatlanokat elidegeníteni, csak forgalmi értékbecsléssel megalapozva lehet. </w:t>
      </w:r>
    </w:p>
    <w:p w:rsidR="00411C18" w:rsidRPr="00F31335" w:rsidRDefault="00411C18" w:rsidP="005938B5">
      <w:pPr>
        <w:pStyle w:val="NormlWeb"/>
        <w:spacing w:before="0" w:after="0"/>
        <w:ind w:right="125"/>
        <w:jc w:val="both"/>
        <w:rPr>
          <w:bCs/>
          <w:sz w:val="23"/>
          <w:szCs w:val="23"/>
        </w:rPr>
      </w:pPr>
    </w:p>
    <w:p w:rsidR="005938B5" w:rsidRPr="00F31335" w:rsidRDefault="005938B5" w:rsidP="005938B5">
      <w:pPr>
        <w:pStyle w:val="NormlWeb"/>
        <w:spacing w:before="0" w:after="0"/>
        <w:ind w:right="125"/>
        <w:jc w:val="both"/>
        <w:rPr>
          <w:sz w:val="23"/>
          <w:szCs w:val="23"/>
        </w:rPr>
      </w:pPr>
      <w:r w:rsidRPr="00F31335">
        <w:rPr>
          <w:bCs/>
          <w:sz w:val="23"/>
          <w:szCs w:val="23"/>
        </w:rPr>
        <w:t xml:space="preserve">Az </w:t>
      </w:r>
      <w:proofErr w:type="spellStart"/>
      <w:r w:rsidRPr="00F31335">
        <w:rPr>
          <w:bCs/>
          <w:sz w:val="23"/>
          <w:szCs w:val="23"/>
          <w:u w:val="single"/>
        </w:rPr>
        <w:t>Nvtv</w:t>
      </w:r>
      <w:proofErr w:type="spellEnd"/>
      <w:r w:rsidRPr="00F31335">
        <w:rPr>
          <w:bCs/>
          <w:sz w:val="23"/>
          <w:szCs w:val="23"/>
          <w:u w:val="single"/>
        </w:rPr>
        <w:t>. 14. §</w:t>
      </w:r>
      <w:r w:rsidRPr="00F31335">
        <w:rPr>
          <w:sz w:val="23"/>
          <w:szCs w:val="23"/>
          <w:u w:val="single"/>
        </w:rPr>
        <w:t xml:space="preserve"> </w:t>
      </w:r>
      <w:bookmarkStart w:id="1" w:name="pr268"/>
      <w:bookmarkEnd w:id="1"/>
      <w:r w:rsidRPr="00F31335">
        <w:rPr>
          <w:sz w:val="23"/>
          <w:szCs w:val="23"/>
          <w:u w:val="single"/>
        </w:rPr>
        <w:t>(2) bekezdése</w:t>
      </w:r>
      <w:r w:rsidRPr="00F31335">
        <w:rPr>
          <w:sz w:val="23"/>
          <w:szCs w:val="23"/>
        </w:rPr>
        <w:t xml:space="preserve"> értelmében: </w:t>
      </w:r>
    </w:p>
    <w:p w:rsidR="005938B5" w:rsidRPr="00F31335" w:rsidRDefault="005938B5" w:rsidP="005938B5">
      <w:pPr>
        <w:pStyle w:val="NormlWeb"/>
        <w:spacing w:before="0" w:after="0"/>
        <w:ind w:right="125"/>
        <w:jc w:val="both"/>
        <w:rPr>
          <w:sz w:val="23"/>
          <w:szCs w:val="23"/>
        </w:rPr>
      </w:pPr>
      <w:r w:rsidRPr="00F31335">
        <w:rPr>
          <w:sz w:val="23"/>
          <w:szCs w:val="23"/>
        </w:rPr>
        <w:t>„Helyi önkormányzat tulajdonában lévő ingatlan értékesítése esetén - a (3)-(4) bekezdésben foglalt kivétellel - az államot minden más jogosultat megelőző elővásárlási jog illeti meg. …”</w:t>
      </w:r>
    </w:p>
    <w:p w:rsidR="00F31335" w:rsidRDefault="00F31335" w:rsidP="005938B5">
      <w:pPr>
        <w:pStyle w:val="NormlWeb"/>
        <w:spacing w:before="0" w:after="0"/>
        <w:ind w:right="125"/>
        <w:jc w:val="both"/>
        <w:rPr>
          <w:sz w:val="23"/>
          <w:szCs w:val="23"/>
        </w:rPr>
      </w:pPr>
      <w:bookmarkStart w:id="2" w:name="pr275"/>
      <w:bookmarkEnd w:id="2"/>
    </w:p>
    <w:p w:rsidR="00D42E26" w:rsidRPr="00F31335" w:rsidRDefault="005938B5" w:rsidP="005938B5">
      <w:pPr>
        <w:pStyle w:val="NormlWeb"/>
        <w:spacing w:before="0" w:after="0"/>
        <w:ind w:right="125"/>
        <w:jc w:val="both"/>
        <w:rPr>
          <w:sz w:val="23"/>
          <w:szCs w:val="23"/>
        </w:rPr>
      </w:pPr>
      <w:r w:rsidRPr="00F31335">
        <w:rPr>
          <w:sz w:val="23"/>
          <w:szCs w:val="23"/>
        </w:rPr>
        <w:t xml:space="preserve">Az </w:t>
      </w:r>
      <w:proofErr w:type="spellStart"/>
      <w:r w:rsidRPr="00F31335">
        <w:rPr>
          <w:sz w:val="23"/>
          <w:szCs w:val="23"/>
          <w:u w:val="single"/>
        </w:rPr>
        <w:t>Nvtv</w:t>
      </w:r>
      <w:proofErr w:type="spellEnd"/>
      <w:r w:rsidRPr="00F31335">
        <w:rPr>
          <w:sz w:val="23"/>
          <w:szCs w:val="23"/>
          <w:u w:val="single"/>
        </w:rPr>
        <w:t>. 14.§ (4) bekezdése</w:t>
      </w:r>
      <w:r w:rsidRPr="00F31335">
        <w:rPr>
          <w:sz w:val="23"/>
          <w:szCs w:val="23"/>
        </w:rPr>
        <w:t xml:space="preserve"> szerint:</w:t>
      </w:r>
    </w:p>
    <w:p w:rsidR="005938B5" w:rsidRPr="00F31335" w:rsidRDefault="005938B5" w:rsidP="005938B5">
      <w:pPr>
        <w:pStyle w:val="NormlWeb"/>
        <w:spacing w:before="0" w:after="0"/>
        <w:ind w:right="125"/>
        <w:jc w:val="both"/>
        <w:rPr>
          <w:sz w:val="23"/>
          <w:szCs w:val="23"/>
        </w:rPr>
      </w:pPr>
      <w:proofErr w:type="gramStart"/>
      <w:r w:rsidRPr="00F31335">
        <w:rPr>
          <w:sz w:val="23"/>
          <w:szCs w:val="23"/>
        </w:rPr>
        <w:t>a</w:t>
      </w:r>
      <w:proofErr w:type="gramEnd"/>
      <w:r w:rsidRPr="00F31335">
        <w:rPr>
          <w:sz w:val="23"/>
          <w:szCs w:val="23"/>
        </w:rPr>
        <w:t xml:space="preserve"> </w:t>
      </w:r>
      <w:proofErr w:type="spellStart"/>
      <w:r w:rsidRPr="00F31335">
        <w:rPr>
          <w:sz w:val="23"/>
          <w:szCs w:val="23"/>
        </w:rPr>
        <w:t>Nvtv</w:t>
      </w:r>
      <w:proofErr w:type="spellEnd"/>
      <w:r w:rsidRPr="00F31335">
        <w:rPr>
          <w:sz w:val="23"/>
          <w:szCs w:val="23"/>
        </w:rPr>
        <w:t>. 14.§ „(2) bekezdésének rendelkezését nem kell alkalmazni a 13. § (1) bekezdése szerint meghatározott értékhatár 20%-át el nem érő értékű ingatlan értékesítése esetén.</w:t>
      </w:r>
    </w:p>
    <w:p w:rsidR="00D42E26" w:rsidRPr="00F31335" w:rsidRDefault="005938B5" w:rsidP="00D42E26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1335">
        <w:rPr>
          <w:rFonts w:ascii="Times New Roman" w:hAnsi="Times New Roman" w:cs="Times New Roman"/>
          <w:bCs/>
          <w:sz w:val="23"/>
          <w:szCs w:val="23"/>
        </w:rPr>
        <w:t xml:space="preserve">Az </w:t>
      </w:r>
      <w:proofErr w:type="spellStart"/>
      <w:r w:rsidRPr="00F31335">
        <w:rPr>
          <w:rFonts w:ascii="Times New Roman" w:hAnsi="Times New Roman" w:cs="Times New Roman"/>
          <w:bCs/>
          <w:sz w:val="23"/>
          <w:szCs w:val="23"/>
          <w:u w:val="single"/>
        </w:rPr>
        <w:t>Nvtv</w:t>
      </w:r>
      <w:proofErr w:type="spellEnd"/>
      <w:r w:rsidRPr="00F31335">
        <w:rPr>
          <w:rFonts w:ascii="Times New Roman" w:hAnsi="Times New Roman" w:cs="Times New Roman"/>
          <w:bCs/>
          <w:sz w:val="23"/>
          <w:szCs w:val="23"/>
          <w:u w:val="single"/>
        </w:rPr>
        <w:t>. 13. §</w:t>
      </w:r>
      <w:r w:rsidRPr="00F31335">
        <w:rPr>
          <w:rFonts w:ascii="Times New Roman" w:hAnsi="Times New Roman" w:cs="Times New Roman"/>
          <w:b/>
          <w:bCs/>
          <w:sz w:val="23"/>
          <w:szCs w:val="23"/>
          <w:u w:val="single"/>
        </w:rPr>
        <w:t xml:space="preserve"> </w:t>
      </w:r>
      <w:r w:rsidRPr="00F31335">
        <w:rPr>
          <w:rFonts w:ascii="Times New Roman" w:hAnsi="Times New Roman" w:cs="Times New Roman"/>
          <w:sz w:val="23"/>
          <w:szCs w:val="23"/>
          <w:u w:val="single"/>
        </w:rPr>
        <w:t>(1) bekezdése</w:t>
      </w:r>
      <w:r w:rsidRPr="00F31335">
        <w:rPr>
          <w:rFonts w:ascii="Times New Roman" w:hAnsi="Times New Roman" w:cs="Times New Roman"/>
          <w:sz w:val="23"/>
          <w:szCs w:val="23"/>
        </w:rPr>
        <w:t xml:space="preserve"> értelmében:</w:t>
      </w:r>
    </w:p>
    <w:p w:rsidR="00B454A4" w:rsidRPr="00F31335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1335">
        <w:rPr>
          <w:rFonts w:ascii="Times New Roman" w:hAnsi="Times New Roman" w:cs="Times New Roman"/>
          <w:sz w:val="23"/>
          <w:szCs w:val="23"/>
        </w:rPr>
        <w:lastRenderedPageBreak/>
        <w:t>”Törvényben, valamint a helyi önkormányzat tulajdonában álló nemzeti vagyon tekintetében törvényben vagy a helyi önkormányzat rendeletében meghatározott értékhatár feletti nemzeti vagyon tulajdonjogát átruházni - ha törvény kivételt nem tesz - csak versenyeztetés útján, az összességében legelőnyösebb ajánlatot tevő részére, a szolgáltatás és ellenszolgáltatás értékarányosságával lehet.”</w:t>
      </w:r>
    </w:p>
    <w:p w:rsidR="00B454A4" w:rsidRPr="00F31335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4A4" w:rsidRPr="00F31335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F31335">
        <w:rPr>
          <w:rFonts w:ascii="Times New Roman" w:hAnsi="Times New Roman" w:cs="Times New Roman"/>
          <w:sz w:val="23"/>
          <w:szCs w:val="23"/>
        </w:rPr>
        <w:t xml:space="preserve">Fentiek alapján mivel az </w:t>
      </w:r>
      <w:r w:rsidRPr="00F31335">
        <w:rPr>
          <w:rFonts w:ascii="Times New Roman" w:hAnsi="Times New Roman" w:cs="Times New Roman"/>
          <w:b/>
          <w:sz w:val="23"/>
          <w:szCs w:val="23"/>
        </w:rPr>
        <w:t>ingatlan</w:t>
      </w:r>
      <w:r w:rsidR="00622B48" w:rsidRPr="00F31335">
        <w:rPr>
          <w:rFonts w:ascii="Times New Roman" w:hAnsi="Times New Roman" w:cs="Times New Roman"/>
          <w:b/>
          <w:sz w:val="23"/>
          <w:szCs w:val="23"/>
        </w:rPr>
        <w:t>ok</w:t>
      </w:r>
      <w:r w:rsidRPr="00F31335">
        <w:rPr>
          <w:rFonts w:ascii="Times New Roman" w:hAnsi="Times New Roman" w:cs="Times New Roman"/>
          <w:b/>
          <w:sz w:val="23"/>
          <w:szCs w:val="23"/>
        </w:rPr>
        <w:t xml:space="preserve"> </w:t>
      </w:r>
      <w:r w:rsidR="003E35C2" w:rsidRPr="00F31335">
        <w:rPr>
          <w:rFonts w:ascii="Times New Roman" w:hAnsi="Times New Roman" w:cs="Times New Roman"/>
          <w:b/>
          <w:sz w:val="23"/>
          <w:szCs w:val="23"/>
        </w:rPr>
        <w:t xml:space="preserve">forgalmi </w:t>
      </w:r>
      <w:r w:rsidRPr="00F31335">
        <w:rPr>
          <w:rFonts w:ascii="Times New Roman" w:hAnsi="Times New Roman" w:cs="Times New Roman"/>
          <w:b/>
          <w:sz w:val="23"/>
          <w:szCs w:val="23"/>
        </w:rPr>
        <w:t>értéke</w:t>
      </w:r>
      <w:r w:rsidRPr="00F31335">
        <w:rPr>
          <w:rFonts w:ascii="Times New Roman" w:hAnsi="Times New Roman" w:cs="Times New Roman"/>
          <w:sz w:val="23"/>
          <w:szCs w:val="23"/>
        </w:rPr>
        <w:t xml:space="preserve"> </w:t>
      </w:r>
      <w:r w:rsidR="00622B48" w:rsidRPr="00F31335">
        <w:rPr>
          <w:rFonts w:ascii="Times New Roman" w:hAnsi="Times New Roman" w:cs="Times New Roman"/>
          <w:sz w:val="23"/>
          <w:szCs w:val="23"/>
        </w:rPr>
        <w:t>a Költségvetési és Adóigazgatási Osztály 2021.</w:t>
      </w:r>
      <w:r w:rsidR="003E35C2" w:rsidRPr="00F31335">
        <w:rPr>
          <w:rFonts w:ascii="Times New Roman" w:hAnsi="Times New Roman" w:cs="Times New Roman"/>
          <w:sz w:val="23"/>
          <w:szCs w:val="23"/>
        </w:rPr>
        <w:t>01</w:t>
      </w:r>
      <w:r w:rsidR="00622B48" w:rsidRPr="00F31335">
        <w:rPr>
          <w:rFonts w:ascii="Times New Roman" w:hAnsi="Times New Roman" w:cs="Times New Roman"/>
          <w:sz w:val="23"/>
          <w:szCs w:val="23"/>
        </w:rPr>
        <w:t>.</w:t>
      </w:r>
      <w:r w:rsidR="003E35C2" w:rsidRPr="00F31335">
        <w:rPr>
          <w:rFonts w:ascii="Times New Roman" w:hAnsi="Times New Roman" w:cs="Times New Roman"/>
          <w:sz w:val="23"/>
          <w:szCs w:val="23"/>
        </w:rPr>
        <w:t>27</w:t>
      </w:r>
      <w:r w:rsidR="00622B48" w:rsidRPr="00F31335">
        <w:rPr>
          <w:rFonts w:ascii="Times New Roman" w:hAnsi="Times New Roman" w:cs="Times New Roman"/>
          <w:sz w:val="23"/>
          <w:szCs w:val="23"/>
        </w:rPr>
        <w:t xml:space="preserve">-én készített értékbecslése alapján </w:t>
      </w:r>
      <w:r w:rsidRPr="00F31335">
        <w:rPr>
          <w:rFonts w:ascii="Times New Roman" w:hAnsi="Times New Roman" w:cs="Times New Roman"/>
          <w:b/>
          <w:sz w:val="23"/>
          <w:szCs w:val="23"/>
        </w:rPr>
        <w:t>nem haladja meg</w:t>
      </w:r>
      <w:r w:rsidRPr="00F31335">
        <w:rPr>
          <w:rFonts w:ascii="Times New Roman" w:hAnsi="Times New Roman" w:cs="Times New Roman"/>
          <w:sz w:val="23"/>
          <w:szCs w:val="23"/>
        </w:rPr>
        <w:t xml:space="preserve"> a helyi önkormányzati rendeletben meghatározott értékhatár, azaz 25 millió forint 20 %-át, jelen esetben </w:t>
      </w:r>
      <w:r w:rsidRPr="00F31335">
        <w:rPr>
          <w:rFonts w:ascii="Times New Roman" w:hAnsi="Times New Roman" w:cs="Times New Roman"/>
          <w:b/>
          <w:sz w:val="23"/>
          <w:szCs w:val="23"/>
        </w:rPr>
        <w:t>5 millió forintot,</w:t>
      </w:r>
      <w:r w:rsidRPr="00F31335">
        <w:rPr>
          <w:rFonts w:ascii="Times New Roman" w:hAnsi="Times New Roman" w:cs="Times New Roman"/>
          <w:sz w:val="23"/>
          <w:szCs w:val="23"/>
        </w:rPr>
        <w:t xml:space="preserve"> </w:t>
      </w:r>
      <w:r w:rsidR="00437746" w:rsidRPr="00F31335">
        <w:rPr>
          <w:rFonts w:ascii="Times New Roman" w:hAnsi="Times New Roman" w:cs="Times New Roman"/>
          <w:sz w:val="23"/>
          <w:szCs w:val="23"/>
        </w:rPr>
        <w:t>ezért</w:t>
      </w:r>
      <w:r w:rsidRPr="00F31335">
        <w:rPr>
          <w:rFonts w:ascii="Times New Roman" w:hAnsi="Times New Roman" w:cs="Times New Roman"/>
          <w:sz w:val="23"/>
          <w:szCs w:val="23"/>
        </w:rPr>
        <w:t xml:space="preserve"> az </w:t>
      </w:r>
      <w:r w:rsidRPr="00F31335">
        <w:rPr>
          <w:rFonts w:ascii="Times New Roman" w:hAnsi="Times New Roman" w:cs="Times New Roman"/>
          <w:b/>
          <w:sz w:val="23"/>
          <w:szCs w:val="23"/>
        </w:rPr>
        <w:t>államot nem illeti meg elővásárlási jog</w:t>
      </w:r>
      <w:r w:rsidRPr="00F31335">
        <w:rPr>
          <w:rFonts w:ascii="Times New Roman" w:hAnsi="Times New Roman" w:cs="Times New Roman"/>
          <w:sz w:val="23"/>
          <w:szCs w:val="23"/>
        </w:rPr>
        <w:t xml:space="preserve"> a tárgyban szereplő ingatlan</w:t>
      </w:r>
      <w:r w:rsidR="00622B48" w:rsidRPr="00F31335">
        <w:rPr>
          <w:rFonts w:ascii="Times New Roman" w:hAnsi="Times New Roman" w:cs="Times New Roman"/>
          <w:sz w:val="23"/>
          <w:szCs w:val="23"/>
        </w:rPr>
        <w:t>ok</w:t>
      </w:r>
      <w:r w:rsidRPr="00F31335">
        <w:rPr>
          <w:rFonts w:ascii="Times New Roman" w:hAnsi="Times New Roman" w:cs="Times New Roman"/>
          <w:sz w:val="23"/>
          <w:szCs w:val="23"/>
        </w:rPr>
        <w:t xml:space="preserve"> értékesítését illetően. </w:t>
      </w:r>
    </w:p>
    <w:p w:rsidR="00B454A4" w:rsidRPr="00F31335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B454A4" w:rsidRPr="00F31335" w:rsidRDefault="005938B5" w:rsidP="00B45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31335">
        <w:rPr>
          <w:rFonts w:ascii="Times New Roman" w:hAnsi="Times New Roman" w:cs="Times New Roman"/>
          <w:color w:val="000000"/>
          <w:sz w:val="23"/>
          <w:szCs w:val="23"/>
        </w:rPr>
        <w:t xml:space="preserve">Az önkormányzati </w:t>
      </w:r>
      <w:r w:rsidRPr="00F31335">
        <w:rPr>
          <w:rFonts w:ascii="Times New Roman" w:hAnsi="Times New Roman" w:cs="Times New Roman"/>
          <w:color w:val="000000"/>
          <w:sz w:val="23"/>
          <w:szCs w:val="23"/>
          <w:u w:val="single"/>
        </w:rPr>
        <w:t>Vagyonrendelet 10.</w:t>
      </w:r>
      <w:r w:rsidR="00437746" w:rsidRPr="00F31335">
        <w:rPr>
          <w:rFonts w:ascii="Times New Roman" w:hAnsi="Times New Roman" w:cs="Times New Roman"/>
          <w:color w:val="000000"/>
          <w:sz w:val="23"/>
          <w:szCs w:val="23"/>
          <w:u w:val="single"/>
        </w:rPr>
        <w:t xml:space="preserve"> </w:t>
      </w:r>
      <w:r w:rsidRPr="00F31335">
        <w:rPr>
          <w:rFonts w:ascii="Times New Roman" w:hAnsi="Times New Roman" w:cs="Times New Roman"/>
          <w:color w:val="000000"/>
          <w:sz w:val="23"/>
          <w:szCs w:val="23"/>
          <w:u w:val="single"/>
        </w:rPr>
        <w:t>§</w:t>
      </w:r>
      <w:r w:rsidRPr="00F31335">
        <w:rPr>
          <w:rFonts w:ascii="Times New Roman" w:hAnsi="Times New Roman" w:cs="Times New Roman"/>
          <w:color w:val="000000"/>
          <w:sz w:val="23"/>
          <w:szCs w:val="23"/>
        </w:rPr>
        <w:t xml:space="preserve"> (2) bekezdése alapján „a bruttó 25 millió forintos forgalmi értékhatárt nem meghaladó vagyont – az 5. mellékletben foglalt versenyeztetési szabályzat szerinti – versenyeztetés – nyilvános, indokolt esetben zártkörű pályázat – útján, vagy a vevő közvetlen kijelölésével lehet átruházni.”</w:t>
      </w:r>
    </w:p>
    <w:p w:rsidR="00B454A4" w:rsidRPr="00F31335" w:rsidRDefault="00B454A4" w:rsidP="00B454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:rsidR="005938B5" w:rsidRPr="00F31335" w:rsidRDefault="003E35C2" w:rsidP="005938B5">
      <w:pPr>
        <w:pStyle w:val="Szvegtrzs"/>
        <w:rPr>
          <w:sz w:val="23"/>
          <w:szCs w:val="23"/>
        </w:rPr>
      </w:pPr>
      <w:r w:rsidRPr="00F31335">
        <w:rPr>
          <w:sz w:val="23"/>
          <w:szCs w:val="23"/>
        </w:rPr>
        <w:t>A</w:t>
      </w:r>
      <w:r w:rsidR="005938B5" w:rsidRPr="00F31335">
        <w:rPr>
          <w:sz w:val="23"/>
          <w:szCs w:val="23"/>
        </w:rPr>
        <w:t>z ingatlan</w:t>
      </w:r>
      <w:r w:rsidR="00437746" w:rsidRPr="00F31335">
        <w:rPr>
          <w:sz w:val="23"/>
          <w:szCs w:val="23"/>
        </w:rPr>
        <w:t>ok</w:t>
      </w:r>
      <w:r w:rsidR="005938B5" w:rsidRPr="00F31335">
        <w:rPr>
          <w:sz w:val="23"/>
          <w:szCs w:val="23"/>
        </w:rPr>
        <w:t xml:space="preserve"> forgalmi érték</w:t>
      </w:r>
      <w:r w:rsidR="00043B34" w:rsidRPr="00F31335">
        <w:rPr>
          <w:sz w:val="23"/>
          <w:szCs w:val="23"/>
        </w:rPr>
        <w:t xml:space="preserve">e 25.000.000 Ft forgalmi értékhatár alatt van, </w:t>
      </w:r>
      <w:r w:rsidR="005938B5" w:rsidRPr="00F31335">
        <w:rPr>
          <w:sz w:val="23"/>
          <w:szCs w:val="23"/>
        </w:rPr>
        <w:t>ezért</w:t>
      </w:r>
      <w:r w:rsidR="005938B5" w:rsidRPr="00F31335">
        <w:rPr>
          <w:b/>
          <w:sz w:val="23"/>
          <w:szCs w:val="23"/>
        </w:rPr>
        <w:t xml:space="preserve"> nem szükséges az ingatlan</w:t>
      </w:r>
      <w:r w:rsidRPr="00F31335">
        <w:rPr>
          <w:b/>
          <w:sz w:val="23"/>
          <w:szCs w:val="23"/>
        </w:rPr>
        <w:t>ok</w:t>
      </w:r>
      <w:r w:rsidR="005938B5" w:rsidRPr="00F31335">
        <w:rPr>
          <w:b/>
          <w:sz w:val="23"/>
          <w:szCs w:val="23"/>
        </w:rPr>
        <w:t xml:space="preserve"> versenyeztetése</w:t>
      </w:r>
      <w:r w:rsidR="005938B5" w:rsidRPr="00F31335">
        <w:rPr>
          <w:sz w:val="23"/>
          <w:szCs w:val="23"/>
        </w:rPr>
        <w:t>.</w:t>
      </w:r>
    </w:p>
    <w:p w:rsidR="005938B5" w:rsidRPr="00F31335" w:rsidRDefault="005938B5" w:rsidP="005938B5">
      <w:pPr>
        <w:pStyle w:val="Szvegtrzs"/>
        <w:rPr>
          <w:sz w:val="23"/>
          <w:szCs w:val="23"/>
        </w:rPr>
      </w:pPr>
      <w:bookmarkStart w:id="3" w:name="pr263"/>
      <w:bookmarkEnd w:id="3"/>
    </w:p>
    <w:p w:rsidR="005938B5" w:rsidRPr="00F31335" w:rsidRDefault="00043B34" w:rsidP="005938B5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  <w:r w:rsidRPr="00F31335">
        <w:rPr>
          <w:sz w:val="23"/>
          <w:szCs w:val="23"/>
        </w:rPr>
        <w:t xml:space="preserve">A </w:t>
      </w:r>
      <w:r w:rsidR="005938B5" w:rsidRPr="00F31335">
        <w:rPr>
          <w:sz w:val="23"/>
          <w:szCs w:val="23"/>
        </w:rPr>
        <w:t>megvásárolni kívánt ingatlan</w:t>
      </w:r>
      <w:r w:rsidR="00437746" w:rsidRPr="00F31335">
        <w:rPr>
          <w:sz w:val="23"/>
          <w:szCs w:val="23"/>
        </w:rPr>
        <w:t>ok</w:t>
      </w:r>
      <w:r w:rsidR="005938B5" w:rsidRPr="00F31335">
        <w:rPr>
          <w:sz w:val="23"/>
          <w:szCs w:val="23"/>
        </w:rPr>
        <w:t xml:space="preserve"> termőföld</w:t>
      </w:r>
      <w:r w:rsidRPr="00F31335">
        <w:rPr>
          <w:sz w:val="23"/>
          <w:szCs w:val="23"/>
        </w:rPr>
        <w:t>nek minősülnek</w:t>
      </w:r>
      <w:r w:rsidR="005938B5" w:rsidRPr="00F31335">
        <w:rPr>
          <w:sz w:val="23"/>
          <w:szCs w:val="23"/>
        </w:rPr>
        <w:t>, ezért értékesítés</w:t>
      </w:r>
      <w:r w:rsidR="00827461" w:rsidRPr="00F31335">
        <w:rPr>
          <w:sz w:val="23"/>
          <w:szCs w:val="23"/>
        </w:rPr>
        <w:t>ük</w:t>
      </w:r>
      <w:r w:rsidR="005938B5" w:rsidRPr="00F31335">
        <w:rPr>
          <w:sz w:val="23"/>
          <w:szCs w:val="23"/>
        </w:rPr>
        <w:t xml:space="preserve">re a mező- és erdőgazdasági földek forgalmáról szóló 2013. évi CXXII. törvényben, </w:t>
      </w:r>
      <w:proofErr w:type="gramStart"/>
      <w:r w:rsidR="005938B5" w:rsidRPr="00F31335">
        <w:rPr>
          <w:sz w:val="23"/>
          <w:szCs w:val="23"/>
        </w:rPr>
        <w:t>ezen</w:t>
      </w:r>
      <w:proofErr w:type="gramEnd"/>
      <w:r w:rsidR="005938B5" w:rsidRPr="00F31335">
        <w:rPr>
          <w:sz w:val="23"/>
          <w:szCs w:val="23"/>
        </w:rPr>
        <w:t xml:space="preserve"> törvénnyel összefüggő egyes rendelkezésekről és átmeneti szabályokról szóló 2013. évi CCXII. törvényben, valamint az elővásárlási és </w:t>
      </w:r>
      <w:proofErr w:type="spellStart"/>
      <w:r w:rsidR="005938B5" w:rsidRPr="00F31335">
        <w:rPr>
          <w:sz w:val="23"/>
          <w:szCs w:val="23"/>
        </w:rPr>
        <w:t>előhaszonbérleti</w:t>
      </w:r>
      <w:proofErr w:type="spellEnd"/>
      <w:r w:rsidR="005938B5" w:rsidRPr="00F31335">
        <w:rPr>
          <w:sz w:val="23"/>
          <w:szCs w:val="23"/>
        </w:rPr>
        <w:t xml:space="preserve"> jog gyakorlása érdekében az adás-vételi és a haszonbérleti szerződés hirdetményi úton történő közlésére vonatkozó eljárási szabályokról szóló 474/2013. (XII.12.) Korm. rendeletben előírt eljárási szabályok betartása mellett van lehetőség. </w:t>
      </w:r>
    </w:p>
    <w:p w:rsidR="004A521B" w:rsidRPr="00F31335" w:rsidRDefault="004A521B" w:rsidP="005938B5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</w:p>
    <w:p w:rsidR="005938B5" w:rsidRPr="00F31335" w:rsidRDefault="004A521B" w:rsidP="005938B5">
      <w:pPr>
        <w:pStyle w:val="Szvegtrzs"/>
        <w:tabs>
          <w:tab w:val="left" w:pos="1843"/>
          <w:tab w:val="left" w:pos="2127"/>
          <w:tab w:val="left" w:pos="5103"/>
          <w:tab w:val="center" w:pos="6521"/>
        </w:tabs>
        <w:rPr>
          <w:sz w:val="23"/>
          <w:szCs w:val="23"/>
        </w:rPr>
      </w:pPr>
      <w:r w:rsidRPr="00F31335">
        <w:rPr>
          <w:sz w:val="23"/>
          <w:szCs w:val="23"/>
        </w:rPr>
        <w:t>Erre tekintettel</w:t>
      </w:r>
      <w:r w:rsidR="005938B5" w:rsidRPr="00F31335">
        <w:rPr>
          <w:sz w:val="23"/>
          <w:szCs w:val="23"/>
        </w:rPr>
        <w:t xml:space="preserve"> az ingatlan</w:t>
      </w:r>
      <w:r w:rsidR="00827461" w:rsidRPr="00F31335">
        <w:rPr>
          <w:sz w:val="23"/>
          <w:szCs w:val="23"/>
        </w:rPr>
        <w:t>ok</w:t>
      </w:r>
      <w:r w:rsidR="005938B5" w:rsidRPr="00F31335">
        <w:rPr>
          <w:sz w:val="23"/>
          <w:szCs w:val="23"/>
        </w:rPr>
        <w:t>ra kötendő adásvételi szerződést hirdetményi úton közölni kell</w:t>
      </w:r>
      <w:r w:rsidRPr="00F31335">
        <w:rPr>
          <w:sz w:val="23"/>
          <w:szCs w:val="23"/>
        </w:rPr>
        <w:t xml:space="preserve"> az elővásárlásra jogosultakkal.</w:t>
      </w:r>
    </w:p>
    <w:p w:rsidR="005938B5" w:rsidRPr="00F31335" w:rsidRDefault="005938B5" w:rsidP="005938B5">
      <w:pPr>
        <w:pStyle w:val="Szvegtrzs"/>
        <w:rPr>
          <w:sz w:val="23"/>
          <w:szCs w:val="23"/>
        </w:rPr>
      </w:pPr>
    </w:p>
    <w:p w:rsidR="00730473" w:rsidRPr="00F31335" w:rsidRDefault="005938B5" w:rsidP="00827461">
      <w:pPr>
        <w:pStyle w:val="Szvegtrzs"/>
        <w:rPr>
          <w:sz w:val="23"/>
          <w:szCs w:val="23"/>
        </w:rPr>
      </w:pPr>
      <w:r w:rsidRPr="00F31335">
        <w:rPr>
          <w:sz w:val="23"/>
          <w:szCs w:val="23"/>
        </w:rPr>
        <w:t>Fentiek figyelembe vételével az önkormányzati ingatlan</w:t>
      </w:r>
      <w:r w:rsidR="00827461" w:rsidRPr="00F31335">
        <w:rPr>
          <w:sz w:val="23"/>
          <w:szCs w:val="23"/>
        </w:rPr>
        <w:t>ok</w:t>
      </w:r>
      <w:r w:rsidRPr="00F31335">
        <w:rPr>
          <w:sz w:val="23"/>
          <w:szCs w:val="23"/>
        </w:rPr>
        <w:t xml:space="preserve"> értékesítésének akadálya nincs</w:t>
      </w:r>
      <w:r w:rsidR="00827461" w:rsidRPr="00F31335">
        <w:rPr>
          <w:sz w:val="23"/>
          <w:szCs w:val="23"/>
        </w:rPr>
        <w:t>.</w:t>
      </w:r>
      <w:r w:rsidR="00A211B8" w:rsidRPr="00F31335">
        <w:rPr>
          <w:sz w:val="23"/>
          <w:szCs w:val="23"/>
        </w:rPr>
        <w:t xml:space="preserve"> </w:t>
      </w:r>
    </w:p>
    <w:p w:rsidR="00206CBC" w:rsidRPr="00F31335" w:rsidRDefault="00206CBC" w:rsidP="00EB1789">
      <w:pPr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4B7428" w:rsidRPr="00F31335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Magyarország Kormánya a veszélyhelyzet kihirdetéséről szóló </w:t>
      </w: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40/2020. (III.11.) Korm. rendeletével</w:t>
      </w: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az élet- és vagyonbiztonságot veszélyeztető tömeges megbetegedést okozó humánjárvány következményeinek elhárítása, a magyar állampolgárok egészségének és életének megóvása érdekében </w:t>
      </w: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Magyarország egész területére veszélyhelyzetet hirdetett ki.</w:t>
      </w:r>
    </w:p>
    <w:p w:rsidR="004B7428" w:rsidRPr="00F31335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p w:rsidR="004B7428" w:rsidRPr="00F31335" w:rsidRDefault="004B7428" w:rsidP="00EB178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A katasztrófavédelemről és a hozzá kapcsolódó egyes törvények módosításáról szóló 2011. évi CXXVIII. törvény 46. § (4) bekezdés értelmében: „</w:t>
      </w: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Veszélyhelyzetben a települési önkormányzat képviselő-testületének, </w:t>
      </w: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a fővárosi, megyei közgyűlésnek </w:t>
      </w: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feladat- és hatáskörét a polgármester</w:t>
      </w: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, illetve a főpolgármester, a megyei közgyűlés elnöke </w:t>
      </w: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gyakorolja.</w:t>
      </w: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Ennek keretében nem foglalhat állást önkormányzati intézmény átszervezéséről, megszüntetéséről, ellátási, szolgáltatási körzeteiről, ha a szolgáltatás a települést is érinti.”</w:t>
      </w:r>
    </w:p>
    <w:p w:rsidR="004B7428" w:rsidRPr="00F31335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3"/>
          <w:szCs w:val="23"/>
        </w:rPr>
      </w:pPr>
    </w:p>
    <w:p w:rsidR="004B7428" w:rsidRPr="00F31335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4B7428" w:rsidRPr="00F31335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</w:p>
    <w:p w:rsidR="004B7428" w:rsidRPr="00F31335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 xml:space="preserve">Fentiek alapján a kialakult járványügyi helyzetre tekintettel a rendelkező részben foglaltak szerint döntöttem.  </w:t>
      </w:r>
    </w:p>
    <w:p w:rsidR="004B7428" w:rsidRPr="00F31335" w:rsidRDefault="004B7428" w:rsidP="004B74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B7428" w:rsidRPr="00F31335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B7428" w:rsidRPr="00F31335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Tiszavasvári, 202</w:t>
      </w:r>
      <w:r w:rsidR="00634D64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1</w:t>
      </w:r>
      <w:r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. </w:t>
      </w:r>
      <w:r w:rsidR="00634D64" w:rsidRPr="00F31335">
        <w:rPr>
          <w:rFonts w:ascii="Times New Roman" w:hAnsi="Times New Roman" w:cs="Times New Roman"/>
          <w:color w:val="000000" w:themeColor="text1"/>
          <w:sz w:val="23"/>
          <w:szCs w:val="23"/>
        </w:rPr>
        <w:t>január 28.</w:t>
      </w:r>
    </w:p>
    <w:p w:rsidR="004B7428" w:rsidRPr="00F31335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B7428" w:rsidRPr="00F31335" w:rsidRDefault="004B7428" w:rsidP="004B7428">
      <w:pPr>
        <w:spacing w:after="0" w:line="240" w:lineRule="auto"/>
        <w:rPr>
          <w:rFonts w:ascii="Times New Roman" w:hAnsi="Times New Roman" w:cs="Times New Roman"/>
          <w:color w:val="000000" w:themeColor="text1"/>
          <w:sz w:val="23"/>
          <w:szCs w:val="23"/>
        </w:rPr>
      </w:pPr>
    </w:p>
    <w:p w:rsidR="004B7428" w:rsidRPr="00F31335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3"/>
          <w:szCs w:val="23"/>
        </w:rPr>
      </w:pPr>
      <w:r w:rsidRPr="00F31335">
        <w:rPr>
          <w:rFonts w:ascii="Times New Roman" w:hAnsi="Times New Roman" w:cs="Times New Roman"/>
          <w:b/>
          <w:color w:val="000000" w:themeColor="text1"/>
          <w:sz w:val="23"/>
          <w:szCs w:val="23"/>
        </w:rPr>
        <w:tab/>
        <w:t>Szőke Zoltán</w:t>
      </w:r>
    </w:p>
    <w:p w:rsidR="004B7428" w:rsidRPr="00F31335" w:rsidRDefault="004B7428" w:rsidP="004B7428">
      <w:pPr>
        <w:tabs>
          <w:tab w:val="center" w:pos="5670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F31335">
        <w:rPr>
          <w:rFonts w:ascii="Times New Roman" w:hAnsi="Times New Roman" w:cs="Times New Roman"/>
          <w:b/>
          <w:sz w:val="23"/>
          <w:szCs w:val="23"/>
        </w:rPr>
        <w:tab/>
      </w:r>
      <w:proofErr w:type="gramStart"/>
      <w:r w:rsidRPr="00F31335">
        <w:rPr>
          <w:rFonts w:ascii="Times New Roman" w:hAnsi="Times New Roman" w:cs="Times New Roman"/>
          <w:b/>
          <w:sz w:val="23"/>
          <w:szCs w:val="23"/>
        </w:rPr>
        <w:t>polgármester</w:t>
      </w:r>
      <w:proofErr w:type="gramEnd"/>
      <w:r w:rsidRPr="00F31335">
        <w:rPr>
          <w:rFonts w:ascii="Times New Roman" w:eastAsia="Times New Roman" w:hAnsi="Times New Roman" w:cs="Times New Roman"/>
          <w:b/>
          <w:sz w:val="23"/>
          <w:szCs w:val="23"/>
          <w:lang w:eastAsia="hu-HU"/>
        </w:rPr>
        <w:t xml:space="preserve"> </w:t>
      </w:r>
    </w:p>
    <w:p w:rsidR="004B7428" w:rsidRPr="00F31335" w:rsidRDefault="004B7428" w:rsidP="004B7428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4B7428" w:rsidRPr="00F31335" w:rsidSect="00C56A89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Arial"/>
    <w:panose1 w:val="020B0500000000000000"/>
    <w:charset w:val="EE"/>
    <w:family w:val="swiss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2">
    <w:nsid w:val="05790FC5"/>
    <w:multiLevelType w:val="hybridMultilevel"/>
    <w:tmpl w:val="632AAF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3685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FF63BF"/>
    <w:multiLevelType w:val="hybridMultilevel"/>
    <w:tmpl w:val="631E06AE"/>
    <w:lvl w:ilvl="0" w:tplc="E80006C8">
      <w:start w:val="14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4E2778"/>
    <w:multiLevelType w:val="hybridMultilevel"/>
    <w:tmpl w:val="C2CE034E"/>
    <w:lvl w:ilvl="0" w:tplc="B6A696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B7583B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583DFA"/>
    <w:multiLevelType w:val="hybridMultilevel"/>
    <w:tmpl w:val="0686A8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3377"/>
    <w:multiLevelType w:val="hybridMultilevel"/>
    <w:tmpl w:val="9AFC6090"/>
    <w:lvl w:ilvl="0" w:tplc="50844BBA">
      <w:start w:val="1"/>
      <w:numFmt w:val="bullet"/>
      <w:pStyle w:val="Cmsor1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0C5BA5"/>
    <w:multiLevelType w:val="hybridMultilevel"/>
    <w:tmpl w:val="04AC91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41A89"/>
    <w:multiLevelType w:val="hybridMultilevel"/>
    <w:tmpl w:val="48C05000"/>
    <w:lvl w:ilvl="0" w:tplc="A79CB850">
      <w:start w:val="7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97E28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0B3842"/>
    <w:multiLevelType w:val="hybridMultilevel"/>
    <w:tmpl w:val="0CA432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0A03A7"/>
    <w:multiLevelType w:val="hybridMultilevel"/>
    <w:tmpl w:val="2F04F248"/>
    <w:lvl w:ilvl="0" w:tplc="50844BBA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50844BBA">
      <w:start w:val="1"/>
      <w:numFmt w:val="bullet"/>
      <w:lvlText w:val="-"/>
      <w:lvlJc w:val="left"/>
      <w:pPr>
        <w:ind w:left="1788" w:hanging="360"/>
      </w:pPr>
      <w:rPr>
        <w:rFonts w:ascii="Times New Roman" w:eastAsiaTheme="minorHAnsi" w:hAnsi="Times New Roman" w:cs="Times New Roman" w:hint="default"/>
      </w:rPr>
    </w:lvl>
    <w:lvl w:ilvl="2" w:tplc="040E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13"/>
  </w:num>
  <w:num w:numId="4">
    <w:abstractNumId w:val="7"/>
  </w:num>
  <w:num w:numId="5">
    <w:abstractNumId w:val="2"/>
  </w:num>
  <w:num w:numId="6">
    <w:abstractNumId w:val="12"/>
  </w:num>
  <w:num w:numId="7">
    <w:abstractNumId w:val="11"/>
  </w:num>
  <w:num w:numId="8">
    <w:abstractNumId w:val="3"/>
  </w:num>
  <w:num w:numId="9">
    <w:abstractNumId w:val="6"/>
  </w:num>
  <w:num w:numId="10">
    <w:abstractNumId w:val="0"/>
  </w:num>
  <w:num w:numId="11">
    <w:abstractNumId w:val="1"/>
  </w:num>
  <w:num w:numId="12">
    <w:abstractNumId w:val="10"/>
  </w:num>
  <w:num w:numId="13">
    <w:abstractNumId w:val="5"/>
  </w:num>
  <w:num w:numId="14">
    <w:abstractNumId w:val="9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428"/>
    <w:rsid w:val="00043B34"/>
    <w:rsid w:val="00055C5B"/>
    <w:rsid w:val="00094743"/>
    <w:rsid w:val="000A1474"/>
    <w:rsid w:val="000E48C8"/>
    <w:rsid w:val="000E747F"/>
    <w:rsid w:val="00104CC9"/>
    <w:rsid w:val="00141B13"/>
    <w:rsid w:val="001459A0"/>
    <w:rsid w:val="001704C6"/>
    <w:rsid w:val="001A6FBA"/>
    <w:rsid w:val="001F3093"/>
    <w:rsid w:val="00206CBC"/>
    <w:rsid w:val="00222CB7"/>
    <w:rsid w:val="0024127D"/>
    <w:rsid w:val="0028786B"/>
    <w:rsid w:val="002A5DF8"/>
    <w:rsid w:val="002A6E2B"/>
    <w:rsid w:val="002B31E7"/>
    <w:rsid w:val="002B5B6A"/>
    <w:rsid w:val="002C3EB1"/>
    <w:rsid w:val="002C7125"/>
    <w:rsid w:val="002E0056"/>
    <w:rsid w:val="002F31A8"/>
    <w:rsid w:val="003164A6"/>
    <w:rsid w:val="0033290F"/>
    <w:rsid w:val="0034294F"/>
    <w:rsid w:val="0034748A"/>
    <w:rsid w:val="00361CC3"/>
    <w:rsid w:val="003823A7"/>
    <w:rsid w:val="0038370C"/>
    <w:rsid w:val="00397719"/>
    <w:rsid w:val="003A26FD"/>
    <w:rsid w:val="003B160C"/>
    <w:rsid w:val="003B6EC1"/>
    <w:rsid w:val="003E32C8"/>
    <w:rsid w:val="003E35C2"/>
    <w:rsid w:val="003F523A"/>
    <w:rsid w:val="00411C18"/>
    <w:rsid w:val="004139FF"/>
    <w:rsid w:val="0042494A"/>
    <w:rsid w:val="00437746"/>
    <w:rsid w:val="00463BFF"/>
    <w:rsid w:val="00474502"/>
    <w:rsid w:val="004A521B"/>
    <w:rsid w:val="004B7428"/>
    <w:rsid w:val="004D20CF"/>
    <w:rsid w:val="004D52D4"/>
    <w:rsid w:val="0051065D"/>
    <w:rsid w:val="005171FB"/>
    <w:rsid w:val="00521222"/>
    <w:rsid w:val="005341FE"/>
    <w:rsid w:val="005571E5"/>
    <w:rsid w:val="0057365D"/>
    <w:rsid w:val="00577989"/>
    <w:rsid w:val="00587135"/>
    <w:rsid w:val="005938B5"/>
    <w:rsid w:val="005939D4"/>
    <w:rsid w:val="005D698D"/>
    <w:rsid w:val="005F69C4"/>
    <w:rsid w:val="005F7E5E"/>
    <w:rsid w:val="00600E7A"/>
    <w:rsid w:val="00622B48"/>
    <w:rsid w:val="00634D64"/>
    <w:rsid w:val="00641B5D"/>
    <w:rsid w:val="00641B75"/>
    <w:rsid w:val="00664166"/>
    <w:rsid w:val="00665920"/>
    <w:rsid w:val="006677D5"/>
    <w:rsid w:val="006B2D10"/>
    <w:rsid w:val="006F4F9D"/>
    <w:rsid w:val="00700EFD"/>
    <w:rsid w:val="00705034"/>
    <w:rsid w:val="00730473"/>
    <w:rsid w:val="00743A95"/>
    <w:rsid w:val="00757B02"/>
    <w:rsid w:val="00765A21"/>
    <w:rsid w:val="00771642"/>
    <w:rsid w:val="00776932"/>
    <w:rsid w:val="00790315"/>
    <w:rsid w:val="007B28EA"/>
    <w:rsid w:val="007C491E"/>
    <w:rsid w:val="007E7F9F"/>
    <w:rsid w:val="00801E0A"/>
    <w:rsid w:val="00802567"/>
    <w:rsid w:val="00810851"/>
    <w:rsid w:val="00825DAE"/>
    <w:rsid w:val="00826E56"/>
    <w:rsid w:val="00827461"/>
    <w:rsid w:val="00844432"/>
    <w:rsid w:val="00857AC4"/>
    <w:rsid w:val="008B01A8"/>
    <w:rsid w:val="008D388C"/>
    <w:rsid w:val="008E1E30"/>
    <w:rsid w:val="008E6047"/>
    <w:rsid w:val="008F12E3"/>
    <w:rsid w:val="00910797"/>
    <w:rsid w:val="00930807"/>
    <w:rsid w:val="0093639E"/>
    <w:rsid w:val="00943AA3"/>
    <w:rsid w:val="0094670C"/>
    <w:rsid w:val="00952A1D"/>
    <w:rsid w:val="009573A3"/>
    <w:rsid w:val="00992E8B"/>
    <w:rsid w:val="009B2BE7"/>
    <w:rsid w:val="009E14D4"/>
    <w:rsid w:val="009F13D2"/>
    <w:rsid w:val="009F3910"/>
    <w:rsid w:val="009F7DD1"/>
    <w:rsid w:val="00A01A6B"/>
    <w:rsid w:val="00A03AB2"/>
    <w:rsid w:val="00A211B8"/>
    <w:rsid w:val="00A23BDA"/>
    <w:rsid w:val="00A56F9C"/>
    <w:rsid w:val="00A82552"/>
    <w:rsid w:val="00A836AC"/>
    <w:rsid w:val="00A852E2"/>
    <w:rsid w:val="00A97A00"/>
    <w:rsid w:val="00AA2DCA"/>
    <w:rsid w:val="00AB3502"/>
    <w:rsid w:val="00AC2083"/>
    <w:rsid w:val="00AC76BC"/>
    <w:rsid w:val="00AC7DDA"/>
    <w:rsid w:val="00B02BD8"/>
    <w:rsid w:val="00B432CB"/>
    <w:rsid w:val="00B454A4"/>
    <w:rsid w:val="00B852F8"/>
    <w:rsid w:val="00BA77C7"/>
    <w:rsid w:val="00BC331F"/>
    <w:rsid w:val="00BE5518"/>
    <w:rsid w:val="00BF225F"/>
    <w:rsid w:val="00BF54B0"/>
    <w:rsid w:val="00C25F32"/>
    <w:rsid w:val="00C56A89"/>
    <w:rsid w:val="00C8523A"/>
    <w:rsid w:val="00C87048"/>
    <w:rsid w:val="00C87E20"/>
    <w:rsid w:val="00CA2835"/>
    <w:rsid w:val="00CA45AA"/>
    <w:rsid w:val="00CB1A59"/>
    <w:rsid w:val="00CC7C19"/>
    <w:rsid w:val="00CF0AAB"/>
    <w:rsid w:val="00D00BF9"/>
    <w:rsid w:val="00D13D44"/>
    <w:rsid w:val="00D23716"/>
    <w:rsid w:val="00D42E26"/>
    <w:rsid w:val="00D57A4F"/>
    <w:rsid w:val="00D710EE"/>
    <w:rsid w:val="00D724FD"/>
    <w:rsid w:val="00D74925"/>
    <w:rsid w:val="00D873D3"/>
    <w:rsid w:val="00DB63E5"/>
    <w:rsid w:val="00DB64E0"/>
    <w:rsid w:val="00DD6C82"/>
    <w:rsid w:val="00DE58E4"/>
    <w:rsid w:val="00E2582C"/>
    <w:rsid w:val="00E362A3"/>
    <w:rsid w:val="00E418F3"/>
    <w:rsid w:val="00E41FB8"/>
    <w:rsid w:val="00E55B88"/>
    <w:rsid w:val="00E81E9B"/>
    <w:rsid w:val="00E871C4"/>
    <w:rsid w:val="00E92001"/>
    <w:rsid w:val="00EB1789"/>
    <w:rsid w:val="00EC177E"/>
    <w:rsid w:val="00EF1DF6"/>
    <w:rsid w:val="00F03050"/>
    <w:rsid w:val="00F034B8"/>
    <w:rsid w:val="00F143A0"/>
    <w:rsid w:val="00F27C81"/>
    <w:rsid w:val="00F31335"/>
    <w:rsid w:val="00F34D46"/>
    <w:rsid w:val="00F42952"/>
    <w:rsid w:val="00F47422"/>
    <w:rsid w:val="00F563B0"/>
    <w:rsid w:val="00F64F14"/>
    <w:rsid w:val="00F661B0"/>
    <w:rsid w:val="00F82B03"/>
    <w:rsid w:val="00FE5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4B7428"/>
  </w:style>
  <w:style w:type="paragraph" w:styleId="Cmsor1">
    <w:name w:val="heading 1"/>
    <w:basedOn w:val="Norml"/>
    <w:next w:val="Norml"/>
    <w:link w:val="Cmsor1Char"/>
    <w:qFormat/>
    <w:rsid w:val="00BC331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AC76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4B7428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4B7428"/>
    <w:pPr>
      <w:ind w:left="720"/>
      <w:contextualSpacing/>
    </w:pPr>
  </w:style>
  <w:style w:type="paragraph" w:styleId="Cm">
    <w:name w:val="Title"/>
    <w:basedOn w:val="Norml"/>
    <w:link w:val="CmChar"/>
    <w:uiPriority w:val="99"/>
    <w:qFormat/>
    <w:rsid w:val="0079031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790315"/>
    <w:rPr>
      <w:rFonts w:ascii="Times New Roman" w:eastAsia="Times New Roman" w:hAnsi="Times New Roman" w:cs="Times New Roman"/>
      <w:b/>
      <w:noProof/>
      <w:spacing w:val="20"/>
      <w:sz w:val="40"/>
      <w:szCs w:val="20"/>
      <w:u w:val="single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57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571E5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DD6C82"/>
    <w:pPr>
      <w:widowControl w:val="0"/>
      <w:suppressAutoHyphens/>
      <w:spacing w:after="160" w:line="240" w:lineRule="exact"/>
    </w:pPr>
    <w:rPr>
      <w:rFonts w:ascii="Tahoma" w:eastAsia="Lucida Sans Unicode" w:hAnsi="Tahoma" w:cs="Times New Roman"/>
      <w:sz w:val="20"/>
      <w:szCs w:val="20"/>
      <w:lang w:val="en-US"/>
    </w:rPr>
  </w:style>
  <w:style w:type="paragraph" w:styleId="Szvegtrzs">
    <w:name w:val="Body Text"/>
    <w:basedOn w:val="Norml"/>
    <w:link w:val="SzvegtrzsChar"/>
    <w:rsid w:val="003823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823A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StlusSorkizrtBal032cm">
    <w:name w:val="Stílus Sorkizárt Bal:  032 cm"/>
    <w:basedOn w:val="Norml"/>
    <w:rsid w:val="0042494A"/>
    <w:pPr>
      <w:spacing w:before="240"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NormlWeb">
    <w:name w:val="Normal (Web)"/>
    <w:basedOn w:val="Norml"/>
    <w:unhideWhenUsed/>
    <w:rsid w:val="005D698D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Kiemels2">
    <w:name w:val="Strong"/>
    <w:basedOn w:val="Bekezdsalapbettpusa"/>
    <w:qFormat/>
    <w:rsid w:val="005D698D"/>
    <w:rPr>
      <w:b/>
      <w:bCs/>
    </w:rPr>
  </w:style>
  <w:style w:type="character" w:customStyle="1" w:styleId="Cmsor1Char">
    <w:name w:val="Címsor 1 Char"/>
    <w:basedOn w:val="Bekezdsalapbettpusa"/>
    <w:link w:val="Cmsor1"/>
    <w:rsid w:val="00BC331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lb">
    <w:name w:val="footer"/>
    <w:basedOn w:val="Norml"/>
    <w:link w:val="llbChar"/>
    <w:rsid w:val="00BC331F"/>
    <w:pPr>
      <w:tabs>
        <w:tab w:val="center" w:pos="4536"/>
        <w:tab w:val="right" w:pos="9072"/>
      </w:tabs>
      <w:suppressAutoHyphens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llbChar">
    <w:name w:val="Élőláb Char"/>
    <w:basedOn w:val="Bekezdsalapbettpusa"/>
    <w:link w:val="llb"/>
    <w:rsid w:val="00BC331F"/>
    <w:rPr>
      <w:rFonts w:ascii="MS Sans Serif" w:eastAsia="Times New Roman" w:hAnsi="MS Sans Serif" w:cs="MS Sans Serif"/>
      <w:sz w:val="20"/>
      <w:szCs w:val="20"/>
      <w:lang w:val="en-US" w:eastAsia="ar-SA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AC76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tyle5">
    <w:name w:val="Style5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20">
    <w:name w:val="Font Style20"/>
    <w:basedOn w:val="Bekezdsalapbettpusa"/>
    <w:uiPriority w:val="99"/>
    <w:rsid w:val="00AC76BC"/>
    <w:rPr>
      <w:rFonts w:ascii="Garamond" w:hAnsi="Garamond" w:cs="Garamond"/>
      <w:sz w:val="22"/>
      <w:szCs w:val="22"/>
    </w:rPr>
  </w:style>
  <w:style w:type="paragraph" w:customStyle="1" w:styleId="Style4">
    <w:name w:val="Style4"/>
    <w:basedOn w:val="Norml"/>
    <w:uiPriority w:val="99"/>
    <w:rsid w:val="00AC76BC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sz w:val="24"/>
      <w:szCs w:val="24"/>
      <w:lang w:eastAsia="hu-HU"/>
    </w:rPr>
  </w:style>
  <w:style w:type="paragraph" w:customStyle="1" w:styleId="Style3">
    <w:name w:val="Style3"/>
    <w:basedOn w:val="Norml"/>
    <w:uiPriority w:val="99"/>
    <w:rsid w:val="00AA2DCA"/>
    <w:pPr>
      <w:widowControl w:val="0"/>
      <w:autoSpaceDE w:val="0"/>
      <w:autoSpaceDN w:val="0"/>
      <w:adjustRightInd w:val="0"/>
      <w:spacing w:after="0" w:line="267" w:lineRule="exact"/>
      <w:ind w:hanging="1440"/>
      <w:jc w:val="both"/>
    </w:pPr>
    <w:rPr>
      <w:rFonts w:ascii="Garamond" w:eastAsia="Times New Roman" w:hAnsi="Garamond" w:cs="Garamond"/>
      <w:sz w:val="24"/>
      <w:szCs w:val="24"/>
      <w:lang w:eastAsia="hu-HU"/>
    </w:rPr>
  </w:style>
  <w:style w:type="character" w:customStyle="1" w:styleId="FontStyle17">
    <w:name w:val="Font Style17"/>
    <w:uiPriority w:val="99"/>
    <w:rsid w:val="00AA2DCA"/>
    <w:rPr>
      <w:rFonts w:ascii="Garamond" w:hAnsi="Garamond" w:cs="Garamond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8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vonkph@tiszavasvari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Gulyásné Gáll Anita</dc:creator>
  <cp:lastModifiedBy>Gulyásné Gáll Anita</cp:lastModifiedBy>
  <cp:revision>3</cp:revision>
  <cp:lastPrinted>2021-01-27T12:50:00Z</cp:lastPrinted>
  <dcterms:created xsi:type="dcterms:W3CDTF">2021-02-15T13:11:00Z</dcterms:created>
  <dcterms:modified xsi:type="dcterms:W3CDTF">2021-02-15T13:13:00Z</dcterms:modified>
</cp:coreProperties>
</file>