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483" w:rsidRPr="00273483" w:rsidRDefault="00273483" w:rsidP="00273483">
      <w:pPr>
        <w:spacing w:after="0" w:line="240" w:lineRule="auto"/>
        <w:jc w:val="center"/>
        <w:rPr>
          <w:rFonts w:ascii="Times New Roman" w:eastAsia="Times New Roman" w:hAnsi="Times New Roman" w:cs="Times New Roman"/>
          <w:b/>
          <w:sz w:val="24"/>
          <w:szCs w:val="24"/>
          <w:lang w:eastAsia="hu-HU"/>
        </w:rPr>
      </w:pPr>
      <w:r w:rsidRPr="00273483">
        <w:rPr>
          <w:rFonts w:ascii="Times New Roman" w:eastAsia="Times New Roman" w:hAnsi="Times New Roman" w:cs="Times New Roman"/>
          <w:b/>
          <w:sz w:val="24"/>
          <w:szCs w:val="24"/>
          <w:lang w:eastAsia="hu-HU"/>
        </w:rPr>
        <w:t>TISZAVASVÁRI VÁROS ÖNKORMÁNYZATA</w:t>
      </w:r>
    </w:p>
    <w:p w:rsidR="00273483" w:rsidRPr="00273483" w:rsidRDefault="00273483" w:rsidP="00273483">
      <w:pPr>
        <w:spacing w:after="0" w:line="240" w:lineRule="auto"/>
        <w:jc w:val="center"/>
        <w:rPr>
          <w:rFonts w:ascii="Times New Roman" w:eastAsia="Times New Roman" w:hAnsi="Times New Roman" w:cs="Times New Roman"/>
          <w:b/>
          <w:sz w:val="24"/>
          <w:szCs w:val="24"/>
          <w:lang w:eastAsia="hu-HU"/>
        </w:rPr>
      </w:pPr>
      <w:r w:rsidRPr="00273483">
        <w:rPr>
          <w:rFonts w:ascii="Times New Roman" w:eastAsia="Times New Roman" w:hAnsi="Times New Roman" w:cs="Times New Roman"/>
          <w:b/>
          <w:sz w:val="24"/>
          <w:szCs w:val="24"/>
          <w:lang w:eastAsia="hu-HU"/>
        </w:rPr>
        <w:t>KÉPVISELŐ TESTÜLETE</w:t>
      </w:r>
    </w:p>
    <w:p w:rsidR="00273483" w:rsidRPr="00273483" w:rsidRDefault="00273483" w:rsidP="00273483">
      <w:pPr>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188</w:t>
      </w:r>
      <w:r w:rsidRPr="00273483">
        <w:rPr>
          <w:rFonts w:ascii="Times New Roman" w:eastAsia="Times New Roman" w:hAnsi="Times New Roman" w:cs="Times New Roman"/>
          <w:b/>
          <w:sz w:val="24"/>
          <w:szCs w:val="24"/>
          <w:lang w:eastAsia="hu-HU"/>
        </w:rPr>
        <w:t>/2018. (VI.28.) Kt. számú</w:t>
      </w:r>
    </w:p>
    <w:p w:rsidR="00273483" w:rsidRPr="00273483" w:rsidRDefault="00273483" w:rsidP="00273483">
      <w:pPr>
        <w:spacing w:after="0" w:line="240" w:lineRule="auto"/>
        <w:jc w:val="center"/>
        <w:rPr>
          <w:rFonts w:ascii="Times New Roman" w:eastAsia="Times New Roman" w:hAnsi="Times New Roman" w:cs="Times New Roman"/>
          <w:b/>
          <w:sz w:val="24"/>
          <w:szCs w:val="24"/>
          <w:lang w:eastAsia="hu-HU"/>
        </w:rPr>
      </w:pPr>
      <w:proofErr w:type="gramStart"/>
      <w:r w:rsidRPr="00273483">
        <w:rPr>
          <w:rFonts w:ascii="Times New Roman" w:eastAsia="Times New Roman" w:hAnsi="Times New Roman" w:cs="Times New Roman"/>
          <w:b/>
          <w:sz w:val="24"/>
          <w:szCs w:val="24"/>
          <w:lang w:eastAsia="hu-HU"/>
        </w:rPr>
        <w:t>határozata</w:t>
      </w:r>
      <w:proofErr w:type="gramEnd"/>
    </w:p>
    <w:p w:rsidR="00273483" w:rsidRPr="00273483" w:rsidRDefault="00273483" w:rsidP="00273483">
      <w:pPr>
        <w:spacing w:after="0" w:line="240" w:lineRule="auto"/>
        <w:rPr>
          <w:rFonts w:ascii="Times New Roman" w:eastAsia="Times New Roman" w:hAnsi="Times New Roman" w:cs="Times New Roman"/>
          <w:b/>
          <w:sz w:val="24"/>
          <w:szCs w:val="20"/>
          <w:lang w:eastAsia="hu-HU"/>
        </w:rPr>
      </w:pPr>
    </w:p>
    <w:p w:rsidR="00273483" w:rsidRPr="00273483" w:rsidRDefault="00273483" w:rsidP="00273483">
      <w:pPr>
        <w:spacing w:after="0" w:line="240" w:lineRule="auto"/>
        <w:jc w:val="center"/>
        <w:rPr>
          <w:rFonts w:ascii="Times New Roman" w:eastAsia="Times New Roman" w:hAnsi="Times New Roman" w:cs="Times New Roman"/>
          <w:b/>
          <w:color w:val="FF0000"/>
          <w:sz w:val="24"/>
          <w:szCs w:val="24"/>
          <w:lang w:eastAsia="hu-HU"/>
        </w:rPr>
      </w:pPr>
      <w:r w:rsidRPr="00273483">
        <w:rPr>
          <w:rFonts w:ascii="Times New Roman" w:eastAsia="Times New Roman" w:hAnsi="Times New Roman" w:cs="Times New Roman"/>
          <w:b/>
          <w:sz w:val="24"/>
          <w:szCs w:val="20"/>
          <w:lang w:eastAsia="hu-HU"/>
        </w:rPr>
        <w:t xml:space="preserve">Hajdúkerületi és Bihari </w:t>
      </w:r>
      <w:proofErr w:type="spellStart"/>
      <w:r w:rsidRPr="00273483">
        <w:rPr>
          <w:rFonts w:ascii="Times New Roman" w:eastAsia="Times New Roman" w:hAnsi="Times New Roman" w:cs="Times New Roman"/>
          <w:b/>
          <w:sz w:val="24"/>
          <w:szCs w:val="20"/>
          <w:lang w:eastAsia="hu-HU"/>
        </w:rPr>
        <w:t>Víziközmű</w:t>
      </w:r>
      <w:proofErr w:type="spellEnd"/>
      <w:r w:rsidRPr="00273483">
        <w:rPr>
          <w:rFonts w:ascii="Times New Roman" w:eastAsia="Times New Roman" w:hAnsi="Times New Roman" w:cs="Times New Roman"/>
          <w:b/>
          <w:sz w:val="24"/>
          <w:szCs w:val="20"/>
          <w:lang w:eastAsia="hu-HU"/>
        </w:rPr>
        <w:t xml:space="preserve"> Szolgáltató </w:t>
      </w:r>
      <w:proofErr w:type="spellStart"/>
      <w:r w:rsidRPr="00273483">
        <w:rPr>
          <w:rFonts w:ascii="Times New Roman" w:eastAsia="Times New Roman" w:hAnsi="Times New Roman" w:cs="Times New Roman"/>
          <w:b/>
          <w:sz w:val="24"/>
          <w:szCs w:val="20"/>
          <w:lang w:eastAsia="hu-HU"/>
        </w:rPr>
        <w:t>Zrt.-t</w:t>
      </w:r>
      <w:proofErr w:type="spellEnd"/>
      <w:r w:rsidRPr="00273483">
        <w:rPr>
          <w:rFonts w:ascii="Times New Roman" w:eastAsia="Times New Roman" w:hAnsi="Times New Roman" w:cs="Times New Roman"/>
          <w:b/>
          <w:sz w:val="24"/>
          <w:szCs w:val="20"/>
          <w:lang w:eastAsia="hu-HU"/>
        </w:rPr>
        <w:t xml:space="preserve"> érintő átfogó gazdasági és személyi problémákról</w:t>
      </w:r>
    </w:p>
    <w:p w:rsidR="00273483" w:rsidRPr="00273483" w:rsidRDefault="00273483" w:rsidP="00273483">
      <w:pPr>
        <w:suppressAutoHyphens/>
        <w:spacing w:after="0" w:line="240" w:lineRule="auto"/>
        <w:rPr>
          <w:rFonts w:ascii="Arial Narrow" w:eastAsia="Times New Roman" w:hAnsi="Arial Narrow" w:cs="Arial Narrow"/>
          <w:color w:val="1F497D"/>
          <w:sz w:val="24"/>
          <w:szCs w:val="24"/>
          <w:lang w:eastAsia="zh-CN"/>
        </w:rPr>
      </w:pPr>
    </w:p>
    <w:p w:rsidR="00273483" w:rsidRPr="00273483" w:rsidRDefault="00273483" w:rsidP="00273483">
      <w:pPr>
        <w:spacing w:after="0" w:line="240" w:lineRule="auto"/>
        <w:jc w:val="both"/>
        <w:rPr>
          <w:rFonts w:ascii="Times New Roman" w:eastAsia="Times New Roman" w:hAnsi="Times New Roman" w:cs="Times New Roman"/>
          <w:bCs/>
          <w:sz w:val="24"/>
          <w:szCs w:val="24"/>
          <w:lang w:eastAsia="ar-SA"/>
        </w:rPr>
      </w:pPr>
      <w:r w:rsidRPr="00273483">
        <w:rPr>
          <w:rFonts w:ascii="Times New Roman" w:eastAsia="Times New Roman" w:hAnsi="Times New Roman" w:cs="Times New Roman"/>
          <w:sz w:val="24"/>
          <w:szCs w:val="24"/>
          <w:lang w:eastAsia="hu-HU"/>
        </w:rPr>
        <w:t xml:space="preserve">Tiszavasvári Város Önkormányzata Képviselő-testülete </w:t>
      </w:r>
      <w:r w:rsidRPr="00273483">
        <w:rPr>
          <w:rFonts w:ascii="Times New Roman" w:eastAsia="Times New Roman" w:hAnsi="Times New Roman" w:cs="Times New Roman"/>
          <w:bCs/>
          <w:sz w:val="24"/>
          <w:szCs w:val="24"/>
          <w:lang w:eastAsia="ar-SA"/>
        </w:rPr>
        <w:t>Magyarország helyi önkormányzatairól szóló 2011. CLXXXIX. tv. 107.§–</w:t>
      </w:r>
      <w:proofErr w:type="spellStart"/>
      <w:r w:rsidRPr="00273483">
        <w:rPr>
          <w:rFonts w:ascii="Times New Roman" w:eastAsia="Times New Roman" w:hAnsi="Times New Roman" w:cs="Times New Roman"/>
          <w:bCs/>
          <w:sz w:val="24"/>
          <w:szCs w:val="24"/>
          <w:lang w:eastAsia="ar-SA"/>
        </w:rPr>
        <w:t>ában</w:t>
      </w:r>
      <w:proofErr w:type="spellEnd"/>
      <w:r w:rsidRPr="00273483">
        <w:rPr>
          <w:rFonts w:ascii="Times New Roman" w:eastAsia="Times New Roman" w:hAnsi="Times New Roman" w:cs="Times New Roman"/>
          <w:bCs/>
          <w:sz w:val="24"/>
          <w:szCs w:val="24"/>
          <w:lang w:eastAsia="ar-SA"/>
        </w:rPr>
        <w:t xml:space="preserve"> kapott felhatalmazás alapján az alábbi határozatot hozza:</w:t>
      </w:r>
    </w:p>
    <w:p w:rsidR="00273483" w:rsidRPr="00273483" w:rsidRDefault="00273483" w:rsidP="00273483">
      <w:pPr>
        <w:spacing w:after="0" w:line="240" w:lineRule="auto"/>
        <w:jc w:val="both"/>
        <w:rPr>
          <w:rFonts w:ascii="Times New Roman" w:eastAsia="Times New Roman" w:hAnsi="Times New Roman" w:cs="Times New Roman"/>
          <w:bCs/>
          <w:sz w:val="24"/>
          <w:szCs w:val="24"/>
          <w:lang w:eastAsia="ar-SA"/>
        </w:rPr>
      </w:pPr>
    </w:p>
    <w:p w:rsidR="00273483" w:rsidRPr="00273483" w:rsidRDefault="00273483" w:rsidP="00273483">
      <w:pPr>
        <w:spacing w:after="0" w:line="240" w:lineRule="auto"/>
        <w:jc w:val="both"/>
        <w:rPr>
          <w:rFonts w:ascii="Times New Roman" w:eastAsia="Times New Roman" w:hAnsi="Times New Roman" w:cs="Times New Roman"/>
          <w:sz w:val="24"/>
          <w:szCs w:val="20"/>
          <w:lang w:eastAsia="hu-HU"/>
        </w:rPr>
      </w:pPr>
      <w:r w:rsidRPr="00273483">
        <w:rPr>
          <w:rFonts w:ascii="Times New Roman" w:eastAsia="Times New Roman" w:hAnsi="Times New Roman" w:cs="Times New Roman"/>
          <w:sz w:val="24"/>
          <w:szCs w:val="20"/>
          <w:lang w:eastAsia="hu-HU"/>
        </w:rPr>
        <w:t xml:space="preserve">Kinyilatkozza, hogy a Hajdúkerületi és Bihari </w:t>
      </w:r>
      <w:proofErr w:type="spellStart"/>
      <w:r w:rsidRPr="00273483">
        <w:rPr>
          <w:rFonts w:ascii="Times New Roman" w:eastAsia="Times New Roman" w:hAnsi="Times New Roman" w:cs="Times New Roman"/>
          <w:sz w:val="24"/>
          <w:szCs w:val="20"/>
          <w:lang w:eastAsia="hu-HU"/>
        </w:rPr>
        <w:t>Víziközmű</w:t>
      </w:r>
      <w:proofErr w:type="spellEnd"/>
      <w:r w:rsidRPr="00273483">
        <w:rPr>
          <w:rFonts w:ascii="Times New Roman" w:eastAsia="Times New Roman" w:hAnsi="Times New Roman" w:cs="Times New Roman"/>
          <w:sz w:val="24"/>
          <w:szCs w:val="20"/>
          <w:lang w:eastAsia="hu-HU"/>
        </w:rPr>
        <w:t xml:space="preserve"> Szolgáltató </w:t>
      </w:r>
      <w:proofErr w:type="spellStart"/>
      <w:r w:rsidRPr="00273483">
        <w:rPr>
          <w:rFonts w:ascii="Times New Roman" w:eastAsia="Times New Roman" w:hAnsi="Times New Roman" w:cs="Times New Roman"/>
          <w:sz w:val="24"/>
          <w:szCs w:val="20"/>
          <w:lang w:eastAsia="hu-HU"/>
        </w:rPr>
        <w:t>Zrt</w:t>
      </w:r>
      <w:proofErr w:type="spellEnd"/>
      <w:r w:rsidRPr="00273483">
        <w:rPr>
          <w:rFonts w:ascii="Times New Roman" w:eastAsia="Times New Roman" w:hAnsi="Times New Roman" w:cs="Times New Roman"/>
          <w:sz w:val="24"/>
          <w:szCs w:val="20"/>
          <w:lang w:eastAsia="hu-HU"/>
        </w:rPr>
        <w:t xml:space="preserve">. Igazgatósága által „Általános tájékoztató a HVBSZ </w:t>
      </w:r>
      <w:proofErr w:type="spellStart"/>
      <w:r w:rsidRPr="00273483">
        <w:rPr>
          <w:rFonts w:ascii="Times New Roman" w:eastAsia="Times New Roman" w:hAnsi="Times New Roman" w:cs="Times New Roman"/>
          <w:sz w:val="24"/>
          <w:szCs w:val="20"/>
          <w:lang w:eastAsia="hu-HU"/>
        </w:rPr>
        <w:t>Zrt-t</w:t>
      </w:r>
      <w:proofErr w:type="spellEnd"/>
      <w:r w:rsidRPr="00273483">
        <w:rPr>
          <w:rFonts w:ascii="Times New Roman" w:eastAsia="Times New Roman" w:hAnsi="Times New Roman" w:cs="Times New Roman"/>
          <w:sz w:val="24"/>
          <w:szCs w:val="20"/>
          <w:lang w:eastAsia="hu-HU"/>
        </w:rPr>
        <w:t xml:space="preserve"> érintő átfogó gazdasági és személyi problémákról” tárgyú levelét megismerte, annak tartalmával egyetért és támogatja az Igazgatóság azon szándékát, hogy a levél megküldésre kerüljön az országgyűlési képviselők részére.</w:t>
      </w:r>
    </w:p>
    <w:p w:rsidR="00273483" w:rsidRPr="00273483" w:rsidRDefault="00273483" w:rsidP="00273483">
      <w:pPr>
        <w:spacing w:after="0" w:line="240" w:lineRule="auto"/>
        <w:jc w:val="both"/>
        <w:rPr>
          <w:rFonts w:ascii="Times New Roman" w:eastAsia="Times New Roman" w:hAnsi="Times New Roman" w:cs="Times New Roman"/>
          <w:sz w:val="24"/>
          <w:szCs w:val="20"/>
          <w:lang w:eastAsia="hu-HU"/>
        </w:rPr>
      </w:pPr>
    </w:p>
    <w:p w:rsidR="00273483" w:rsidRPr="00273483" w:rsidRDefault="00273483" w:rsidP="00273483">
      <w:pPr>
        <w:spacing w:after="0" w:line="240" w:lineRule="auto"/>
        <w:jc w:val="both"/>
        <w:rPr>
          <w:rFonts w:ascii="Times New Roman" w:eastAsia="Times New Roman" w:hAnsi="Times New Roman" w:cs="Times New Roman"/>
          <w:sz w:val="24"/>
          <w:szCs w:val="24"/>
          <w:lang w:eastAsia="hu-HU"/>
        </w:rPr>
      </w:pPr>
      <w:proofErr w:type="gramStart"/>
      <w:r w:rsidRPr="00273483">
        <w:rPr>
          <w:rFonts w:ascii="Times New Roman" w:eastAsia="Times New Roman" w:hAnsi="Times New Roman" w:cs="Times New Roman"/>
          <w:sz w:val="24"/>
          <w:szCs w:val="20"/>
          <w:lang w:eastAsia="hu-HU"/>
        </w:rPr>
        <w:t>F</w:t>
      </w:r>
      <w:r w:rsidRPr="00273483">
        <w:rPr>
          <w:rFonts w:ascii="Times New Roman" w:eastAsia="Times New Roman" w:hAnsi="Times New Roman" w:cs="Times New Roman"/>
          <w:sz w:val="24"/>
          <w:szCs w:val="24"/>
          <w:lang w:eastAsia="hu-HU"/>
        </w:rPr>
        <w:t>elkéri</w:t>
      </w:r>
      <w:proofErr w:type="gramEnd"/>
      <w:r w:rsidRPr="00273483">
        <w:rPr>
          <w:rFonts w:ascii="Times New Roman" w:eastAsia="Times New Roman" w:hAnsi="Times New Roman" w:cs="Times New Roman"/>
          <w:sz w:val="24"/>
          <w:szCs w:val="24"/>
          <w:lang w:eastAsia="hu-HU"/>
        </w:rPr>
        <w:t xml:space="preserve"> az alpolgármestert a határozatot küldje meg a </w:t>
      </w:r>
      <w:r w:rsidRPr="00273483">
        <w:rPr>
          <w:rFonts w:ascii="Times New Roman" w:eastAsia="Times New Roman" w:hAnsi="Times New Roman" w:cs="Times New Roman"/>
          <w:sz w:val="24"/>
          <w:szCs w:val="20"/>
          <w:lang w:eastAsia="hu-HU"/>
        </w:rPr>
        <w:t xml:space="preserve">Hajdúkerületi és Bihari </w:t>
      </w:r>
      <w:proofErr w:type="spellStart"/>
      <w:r w:rsidRPr="00273483">
        <w:rPr>
          <w:rFonts w:ascii="Times New Roman" w:eastAsia="Times New Roman" w:hAnsi="Times New Roman" w:cs="Times New Roman"/>
          <w:sz w:val="24"/>
          <w:szCs w:val="20"/>
          <w:lang w:eastAsia="hu-HU"/>
        </w:rPr>
        <w:t>Víziközmű</w:t>
      </w:r>
      <w:proofErr w:type="spellEnd"/>
      <w:r w:rsidRPr="00273483">
        <w:rPr>
          <w:rFonts w:ascii="Times New Roman" w:eastAsia="Times New Roman" w:hAnsi="Times New Roman" w:cs="Times New Roman"/>
          <w:sz w:val="24"/>
          <w:szCs w:val="20"/>
          <w:lang w:eastAsia="hu-HU"/>
        </w:rPr>
        <w:t xml:space="preserve"> Szolgáltató </w:t>
      </w:r>
      <w:proofErr w:type="spellStart"/>
      <w:r w:rsidRPr="00273483">
        <w:rPr>
          <w:rFonts w:ascii="Times New Roman" w:eastAsia="Times New Roman" w:hAnsi="Times New Roman" w:cs="Times New Roman"/>
          <w:sz w:val="24"/>
          <w:szCs w:val="20"/>
          <w:lang w:eastAsia="hu-HU"/>
        </w:rPr>
        <w:t>Zrt</w:t>
      </w:r>
      <w:proofErr w:type="spellEnd"/>
      <w:r w:rsidRPr="00273483">
        <w:rPr>
          <w:rFonts w:ascii="Times New Roman" w:eastAsia="Times New Roman" w:hAnsi="Times New Roman" w:cs="Times New Roman"/>
          <w:sz w:val="24"/>
          <w:szCs w:val="20"/>
          <w:lang w:eastAsia="hu-HU"/>
        </w:rPr>
        <w:t>. Igazgatósága részére.</w:t>
      </w:r>
    </w:p>
    <w:p w:rsidR="00273483" w:rsidRPr="00273483" w:rsidRDefault="00273483" w:rsidP="00273483">
      <w:pPr>
        <w:spacing w:after="0" w:line="240" w:lineRule="auto"/>
        <w:rPr>
          <w:rFonts w:ascii="Times New Roman" w:eastAsia="Times New Roman" w:hAnsi="Times New Roman" w:cs="Times New Roman"/>
          <w:color w:val="000000"/>
          <w:sz w:val="24"/>
          <w:szCs w:val="24"/>
          <w:lang w:eastAsia="hu-HU"/>
        </w:rPr>
      </w:pPr>
    </w:p>
    <w:p w:rsidR="00273483" w:rsidRPr="00273483" w:rsidRDefault="00273483" w:rsidP="00273483">
      <w:pPr>
        <w:spacing w:after="0" w:line="240" w:lineRule="auto"/>
        <w:rPr>
          <w:rFonts w:ascii="Times New Roman" w:eastAsia="Times New Roman" w:hAnsi="Times New Roman" w:cs="Times New Roman"/>
          <w:color w:val="000000"/>
          <w:sz w:val="24"/>
          <w:szCs w:val="24"/>
          <w:lang w:eastAsia="hu-HU"/>
        </w:rPr>
      </w:pPr>
    </w:p>
    <w:p w:rsidR="00273483" w:rsidRPr="00273483" w:rsidRDefault="00273483" w:rsidP="00273483">
      <w:pPr>
        <w:spacing w:after="0" w:line="240" w:lineRule="auto"/>
        <w:rPr>
          <w:rFonts w:ascii="Times New Roman" w:eastAsia="Times New Roman" w:hAnsi="Times New Roman" w:cs="Times New Roman"/>
          <w:color w:val="000000"/>
          <w:sz w:val="24"/>
          <w:szCs w:val="24"/>
          <w:lang w:eastAsia="hu-HU"/>
        </w:rPr>
      </w:pPr>
      <w:r w:rsidRPr="00273483">
        <w:rPr>
          <w:rFonts w:ascii="Times New Roman" w:eastAsia="Times New Roman" w:hAnsi="Times New Roman" w:cs="Times New Roman"/>
          <w:b/>
          <w:color w:val="000000"/>
          <w:sz w:val="24"/>
          <w:szCs w:val="24"/>
          <w:lang w:eastAsia="hu-HU"/>
        </w:rPr>
        <w:t>Határidő</w:t>
      </w:r>
      <w:r w:rsidRPr="00273483">
        <w:rPr>
          <w:rFonts w:ascii="Times New Roman" w:eastAsia="Times New Roman" w:hAnsi="Times New Roman" w:cs="Times New Roman"/>
          <w:color w:val="000000"/>
          <w:sz w:val="24"/>
          <w:szCs w:val="24"/>
          <w:lang w:eastAsia="hu-HU"/>
        </w:rPr>
        <w:t xml:space="preserve">: </w:t>
      </w:r>
      <w:proofErr w:type="gramStart"/>
      <w:r w:rsidRPr="00273483">
        <w:rPr>
          <w:rFonts w:ascii="Times New Roman" w:eastAsia="Times New Roman" w:hAnsi="Times New Roman" w:cs="Times New Roman"/>
          <w:color w:val="000000"/>
          <w:sz w:val="24"/>
          <w:szCs w:val="24"/>
          <w:lang w:eastAsia="hu-HU"/>
        </w:rPr>
        <w:t xml:space="preserve">azonnal                                                  </w:t>
      </w:r>
      <w:r w:rsidRPr="00273483">
        <w:rPr>
          <w:rFonts w:ascii="Times New Roman" w:eastAsia="Times New Roman" w:hAnsi="Times New Roman" w:cs="Times New Roman"/>
          <w:b/>
          <w:color w:val="000000"/>
          <w:sz w:val="24"/>
          <w:szCs w:val="24"/>
          <w:lang w:eastAsia="hu-HU"/>
        </w:rPr>
        <w:t>Felelős</w:t>
      </w:r>
      <w:proofErr w:type="gramEnd"/>
      <w:r w:rsidRPr="00273483">
        <w:rPr>
          <w:rFonts w:ascii="Times New Roman" w:eastAsia="Times New Roman" w:hAnsi="Times New Roman" w:cs="Times New Roman"/>
          <w:color w:val="000000"/>
          <w:sz w:val="24"/>
          <w:szCs w:val="24"/>
          <w:lang w:eastAsia="hu-HU"/>
        </w:rPr>
        <w:t>: Sipos Iboly általános</w:t>
      </w:r>
    </w:p>
    <w:p w:rsidR="00273483" w:rsidRPr="00273483" w:rsidRDefault="00273483" w:rsidP="00273483">
      <w:pPr>
        <w:spacing w:after="0" w:line="240" w:lineRule="auto"/>
        <w:rPr>
          <w:rFonts w:ascii="Times New Roman" w:eastAsia="Times New Roman" w:hAnsi="Times New Roman" w:cs="Times New Roman"/>
          <w:color w:val="000000"/>
          <w:sz w:val="24"/>
          <w:szCs w:val="24"/>
          <w:lang w:eastAsia="hu-HU"/>
        </w:rPr>
      </w:pPr>
      <w:r w:rsidRPr="00273483">
        <w:rPr>
          <w:rFonts w:ascii="Times New Roman" w:eastAsia="Times New Roman" w:hAnsi="Times New Roman" w:cs="Times New Roman"/>
          <w:color w:val="000000"/>
          <w:sz w:val="24"/>
          <w:szCs w:val="24"/>
          <w:lang w:eastAsia="hu-HU"/>
        </w:rPr>
        <w:t xml:space="preserve">                                                                                </w:t>
      </w:r>
      <w:proofErr w:type="gramStart"/>
      <w:r w:rsidRPr="00273483">
        <w:rPr>
          <w:rFonts w:ascii="Times New Roman" w:eastAsia="Times New Roman" w:hAnsi="Times New Roman" w:cs="Times New Roman"/>
          <w:color w:val="000000"/>
          <w:sz w:val="24"/>
          <w:szCs w:val="24"/>
          <w:lang w:eastAsia="hu-HU"/>
        </w:rPr>
        <w:t>helyettesítésre</w:t>
      </w:r>
      <w:proofErr w:type="gramEnd"/>
      <w:r w:rsidRPr="00273483">
        <w:rPr>
          <w:rFonts w:ascii="Times New Roman" w:eastAsia="Times New Roman" w:hAnsi="Times New Roman" w:cs="Times New Roman"/>
          <w:color w:val="000000"/>
          <w:sz w:val="24"/>
          <w:szCs w:val="24"/>
          <w:lang w:eastAsia="hu-HU"/>
        </w:rPr>
        <w:t xml:space="preserve"> megbízott alpolgármester</w:t>
      </w:r>
    </w:p>
    <w:p w:rsidR="00273483" w:rsidRPr="00273483" w:rsidRDefault="00273483" w:rsidP="00273483">
      <w:pPr>
        <w:spacing w:after="0" w:line="240" w:lineRule="auto"/>
        <w:rPr>
          <w:rFonts w:ascii="Times New Roman" w:eastAsia="Times New Roman" w:hAnsi="Times New Roman" w:cs="Times New Roman"/>
          <w:color w:val="000000"/>
          <w:sz w:val="24"/>
          <w:szCs w:val="24"/>
          <w:lang w:eastAsia="hu-HU"/>
        </w:rPr>
      </w:pPr>
    </w:p>
    <w:p w:rsidR="00273483" w:rsidRPr="00273483" w:rsidRDefault="00273483" w:rsidP="00273483">
      <w:pPr>
        <w:spacing w:after="0" w:line="240" w:lineRule="auto"/>
        <w:jc w:val="both"/>
        <w:rPr>
          <w:rFonts w:ascii="Times New Roman" w:eastAsia="Times New Roman" w:hAnsi="Times New Roman" w:cs="Times New Roman"/>
          <w:bCs/>
          <w:sz w:val="24"/>
          <w:szCs w:val="24"/>
          <w:lang w:eastAsia="ar-SA"/>
        </w:rPr>
      </w:pPr>
    </w:p>
    <w:p w:rsidR="00273483" w:rsidRDefault="00273483" w:rsidP="00273483">
      <w:pPr>
        <w:suppressAutoHyphens/>
        <w:spacing w:after="0" w:line="240" w:lineRule="auto"/>
        <w:rPr>
          <w:rFonts w:ascii="Arial Narrow" w:eastAsia="Times New Roman" w:hAnsi="Arial Narrow" w:cs="Arial Narrow"/>
          <w:color w:val="1F497D"/>
          <w:sz w:val="24"/>
          <w:szCs w:val="24"/>
          <w:lang w:eastAsia="zh-CN"/>
        </w:rPr>
      </w:pPr>
    </w:p>
    <w:p w:rsidR="00273483" w:rsidRDefault="00273483" w:rsidP="00273483">
      <w:pPr>
        <w:suppressAutoHyphens/>
        <w:spacing w:after="0" w:line="240" w:lineRule="auto"/>
        <w:rPr>
          <w:rFonts w:ascii="Arial Narrow" w:eastAsia="Times New Roman" w:hAnsi="Arial Narrow" w:cs="Arial Narrow"/>
          <w:color w:val="1F497D"/>
          <w:sz w:val="24"/>
          <w:szCs w:val="24"/>
          <w:lang w:eastAsia="zh-CN"/>
        </w:rPr>
      </w:pPr>
    </w:p>
    <w:p w:rsidR="00273483" w:rsidRPr="00D97A14" w:rsidRDefault="00273483" w:rsidP="00273483">
      <w:pPr>
        <w:widowControl w:val="0"/>
        <w:suppressAutoHyphens/>
        <w:spacing w:before="280" w:after="280" w:line="240" w:lineRule="auto"/>
        <w:jc w:val="both"/>
        <w:rPr>
          <w:rFonts w:ascii="Times New Roman" w:eastAsia="Lucida Sans Unicode" w:hAnsi="Times New Roman" w:cs="Times New Roman"/>
          <w:b/>
          <w:kern w:val="1"/>
          <w:sz w:val="24"/>
          <w:szCs w:val="24"/>
          <w:lang w:eastAsia="hu-HU"/>
        </w:rPr>
      </w:pPr>
      <w:r>
        <w:rPr>
          <w:rFonts w:ascii="Times New Roman" w:eastAsia="Lucida Sans Unicode" w:hAnsi="Times New Roman" w:cs="Times New Roman"/>
          <w:b/>
          <w:kern w:val="1"/>
          <w:sz w:val="24"/>
          <w:szCs w:val="24"/>
          <w:lang w:eastAsia="hu-HU"/>
        </w:rPr>
        <w:t xml:space="preserve">                  </w:t>
      </w:r>
      <w:r w:rsidRPr="00D97A14">
        <w:rPr>
          <w:rFonts w:ascii="Times New Roman" w:eastAsia="Lucida Sans Unicode" w:hAnsi="Times New Roman" w:cs="Times New Roman"/>
          <w:b/>
          <w:kern w:val="1"/>
          <w:sz w:val="24"/>
          <w:szCs w:val="24"/>
          <w:lang w:eastAsia="hu-HU"/>
        </w:rPr>
        <w:t xml:space="preserve">Sipos </w:t>
      </w:r>
      <w:proofErr w:type="gramStart"/>
      <w:r w:rsidRPr="00D97A14">
        <w:rPr>
          <w:rFonts w:ascii="Times New Roman" w:eastAsia="Lucida Sans Unicode" w:hAnsi="Times New Roman" w:cs="Times New Roman"/>
          <w:b/>
          <w:kern w:val="1"/>
          <w:sz w:val="24"/>
          <w:szCs w:val="24"/>
          <w:lang w:eastAsia="hu-HU"/>
        </w:rPr>
        <w:t xml:space="preserve">Ibolya </w:t>
      </w:r>
      <w:r>
        <w:rPr>
          <w:rFonts w:ascii="Times New Roman" w:eastAsia="Lucida Sans Unicode" w:hAnsi="Times New Roman" w:cs="Times New Roman"/>
          <w:b/>
          <w:kern w:val="1"/>
          <w:sz w:val="24"/>
          <w:szCs w:val="24"/>
          <w:lang w:eastAsia="hu-HU"/>
        </w:rPr>
        <w:t xml:space="preserve">                                                   </w:t>
      </w:r>
      <w:r w:rsidRPr="00D97A14">
        <w:rPr>
          <w:rFonts w:ascii="Times New Roman" w:eastAsia="Lucida Sans Unicode" w:hAnsi="Times New Roman" w:cs="Times New Roman"/>
          <w:b/>
          <w:kern w:val="1"/>
          <w:sz w:val="24"/>
          <w:szCs w:val="24"/>
          <w:lang w:eastAsia="hu-HU"/>
        </w:rPr>
        <w:t>Badics</w:t>
      </w:r>
      <w:proofErr w:type="gramEnd"/>
      <w:r w:rsidRPr="00D97A14">
        <w:rPr>
          <w:rFonts w:ascii="Times New Roman" w:eastAsia="Lucida Sans Unicode" w:hAnsi="Times New Roman" w:cs="Times New Roman"/>
          <w:b/>
          <w:kern w:val="1"/>
          <w:sz w:val="24"/>
          <w:szCs w:val="24"/>
          <w:lang w:eastAsia="hu-HU"/>
        </w:rPr>
        <w:t xml:space="preserve"> Ildikó</w:t>
      </w:r>
    </w:p>
    <w:p w:rsidR="00273483" w:rsidRPr="00D97A14" w:rsidRDefault="00273483" w:rsidP="00273483">
      <w:pPr>
        <w:widowControl w:val="0"/>
        <w:suppressAutoHyphens/>
        <w:spacing w:before="280" w:after="280" w:line="240" w:lineRule="auto"/>
        <w:jc w:val="both"/>
        <w:rPr>
          <w:rFonts w:ascii="Times New Roman" w:eastAsia="Lucida Sans Unicode" w:hAnsi="Times New Roman" w:cs="Times New Roman"/>
          <w:b/>
          <w:kern w:val="1"/>
          <w:sz w:val="24"/>
          <w:szCs w:val="24"/>
          <w:lang w:eastAsia="hu-HU"/>
        </w:rPr>
      </w:pPr>
      <w:proofErr w:type="gramStart"/>
      <w:r w:rsidRPr="00D97A14">
        <w:rPr>
          <w:rFonts w:ascii="Times New Roman" w:eastAsia="Lucida Sans Unicode" w:hAnsi="Times New Roman" w:cs="Times New Roman"/>
          <w:b/>
          <w:kern w:val="1"/>
          <w:sz w:val="24"/>
          <w:szCs w:val="24"/>
          <w:lang w:eastAsia="hu-HU"/>
        </w:rPr>
        <w:t>általános</w:t>
      </w:r>
      <w:proofErr w:type="gramEnd"/>
      <w:r w:rsidRPr="00D97A14">
        <w:rPr>
          <w:rFonts w:ascii="Times New Roman" w:eastAsia="Lucida Sans Unicode" w:hAnsi="Times New Roman" w:cs="Times New Roman"/>
          <w:b/>
          <w:kern w:val="1"/>
          <w:sz w:val="24"/>
          <w:szCs w:val="24"/>
          <w:lang w:eastAsia="hu-HU"/>
        </w:rPr>
        <w:t xml:space="preserve"> helyettesítésre megbízott </w:t>
      </w:r>
      <w:r>
        <w:rPr>
          <w:rFonts w:ascii="Times New Roman" w:eastAsia="Lucida Sans Unicode" w:hAnsi="Times New Roman" w:cs="Times New Roman"/>
          <w:b/>
          <w:kern w:val="1"/>
          <w:sz w:val="24"/>
          <w:szCs w:val="24"/>
          <w:lang w:eastAsia="hu-HU"/>
        </w:rPr>
        <w:t xml:space="preserve">                                    </w:t>
      </w:r>
      <w:r w:rsidRPr="00D97A14">
        <w:rPr>
          <w:rFonts w:ascii="Times New Roman" w:eastAsia="Lucida Sans Unicode" w:hAnsi="Times New Roman" w:cs="Times New Roman"/>
          <w:b/>
          <w:kern w:val="1"/>
          <w:sz w:val="24"/>
          <w:szCs w:val="24"/>
          <w:lang w:eastAsia="hu-HU"/>
        </w:rPr>
        <w:t>jegyző</w:t>
      </w:r>
    </w:p>
    <w:p w:rsidR="00273483" w:rsidRPr="00D97A14" w:rsidRDefault="00273483" w:rsidP="00273483">
      <w:pPr>
        <w:widowControl w:val="0"/>
        <w:suppressAutoHyphens/>
        <w:spacing w:before="280" w:after="280" w:line="240" w:lineRule="auto"/>
        <w:jc w:val="both"/>
        <w:rPr>
          <w:rFonts w:ascii="Times New Roman" w:eastAsia="Lucida Sans Unicode" w:hAnsi="Times New Roman" w:cs="Times New Roman"/>
          <w:b/>
          <w:kern w:val="1"/>
          <w:sz w:val="24"/>
          <w:szCs w:val="24"/>
          <w:lang w:eastAsia="hu-HU"/>
        </w:rPr>
      </w:pPr>
      <w:r>
        <w:rPr>
          <w:rFonts w:ascii="Times New Roman" w:eastAsia="Lucida Sans Unicode" w:hAnsi="Times New Roman" w:cs="Times New Roman"/>
          <w:b/>
          <w:kern w:val="1"/>
          <w:sz w:val="24"/>
          <w:szCs w:val="24"/>
          <w:lang w:eastAsia="hu-HU"/>
        </w:rPr>
        <w:t xml:space="preserve">               </w:t>
      </w:r>
      <w:proofErr w:type="gramStart"/>
      <w:r w:rsidRPr="00D97A14">
        <w:rPr>
          <w:rFonts w:ascii="Times New Roman" w:eastAsia="Lucida Sans Unicode" w:hAnsi="Times New Roman" w:cs="Times New Roman"/>
          <w:b/>
          <w:kern w:val="1"/>
          <w:sz w:val="24"/>
          <w:szCs w:val="24"/>
          <w:lang w:eastAsia="hu-HU"/>
        </w:rPr>
        <w:t>alpolgármester</w:t>
      </w:r>
      <w:proofErr w:type="gramEnd"/>
    </w:p>
    <w:p w:rsidR="00273483" w:rsidRPr="00273483" w:rsidRDefault="00273483" w:rsidP="00273483">
      <w:pPr>
        <w:suppressAutoHyphens/>
        <w:spacing w:after="0" w:line="240" w:lineRule="auto"/>
        <w:rPr>
          <w:rFonts w:ascii="Arial Narrow" w:eastAsia="Times New Roman" w:hAnsi="Arial Narrow" w:cs="Arial Narrow"/>
          <w:color w:val="1F497D"/>
          <w:sz w:val="24"/>
          <w:szCs w:val="24"/>
          <w:lang w:eastAsia="zh-CN"/>
        </w:rPr>
      </w:pPr>
      <w:bookmarkStart w:id="0" w:name="_GoBack"/>
      <w:bookmarkEnd w:id="0"/>
    </w:p>
    <w:p w:rsidR="00385710" w:rsidRDefault="00385710"/>
    <w:p w:rsidR="004E7E1C" w:rsidRDefault="004E7E1C"/>
    <w:p w:rsidR="004E7E1C" w:rsidRDefault="004E7E1C"/>
    <w:p w:rsidR="004E7E1C" w:rsidRDefault="004E7E1C"/>
    <w:p w:rsidR="004E7E1C" w:rsidRDefault="004E7E1C"/>
    <w:p w:rsidR="004E7E1C" w:rsidRDefault="004E7E1C"/>
    <w:p w:rsidR="004E7E1C" w:rsidRDefault="004E7E1C"/>
    <w:p w:rsidR="004E7E1C" w:rsidRDefault="004E7E1C"/>
    <w:p w:rsidR="004E7E1C" w:rsidRPr="00273483" w:rsidRDefault="004E7E1C" w:rsidP="004E7E1C">
      <w:pPr>
        <w:spacing w:after="0" w:line="240" w:lineRule="auto"/>
        <w:jc w:val="right"/>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188</w:t>
      </w:r>
      <w:r w:rsidRPr="00273483">
        <w:rPr>
          <w:rFonts w:ascii="Times New Roman" w:eastAsia="Times New Roman" w:hAnsi="Times New Roman" w:cs="Times New Roman"/>
          <w:b/>
          <w:sz w:val="24"/>
          <w:szCs w:val="24"/>
          <w:lang w:eastAsia="hu-HU"/>
        </w:rPr>
        <w:t>/2018. (VI.28.) Kt. számú</w:t>
      </w:r>
    </w:p>
    <w:p w:rsidR="004E7E1C" w:rsidRPr="00273483" w:rsidRDefault="004E7E1C" w:rsidP="004E7E1C">
      <w:pPr>
        <w:spacing w:after="0" w:line="240" w:lineRule="auto"/>
        <w:jc w:val="right"/>
        <w:rPr>
          <w:rFonts w:ascii="Times New Roman" w:eastAsia="Times New Roman" w:hAnsi="Times New Roman" w:cs="Times New Roman"/>
          <w:b/>
          <w:sz w:val="24"/>
          <w:szCs w:val="24"/>
          <w:lang w:eastAsia="hu-HU"/>
        </w:rPr>
      </w:pPr>
      <w:proofErr w:type="gramStart"/>
      <w:r>
        <w:rPr>
          <w:rFonts w:ascii="Times New Roman" w:eastAsia="Times New Roman" w:hAnsi="Times New Roman" w:cs="Times New Roman"/>
          <w:b/>
          <w:sz w:val="24"/>
          <w:szCs w:val="24"/>
          <w:lang w:eastAsia="hu-HU"/>
        </w:rPr>
        <w:t>határozat</w:t>
      </w:r>
      <w:proofErr w:type="gramEnd"/>
      <w:r>
        <w:rPr>
          <w:rFonts w:ascii="Times New Roman" w:eastAsia="Times New Roman" w:hAnsi="Times New Roman" w:cs="Times New Roman"/>
          <w:b/>
          <w:sz w:val="24"/>
          <w:szCs w:val="24"/>
          <w:lang w:eastAsia="hu-HU"/>
        </w:rPr>
        <w:t xml:space="preserve"> melléklete</w:t>
      </w:r>
    </w:p>
    <w:p w:rsidR="004E7E1C" w:rsidRDefault="004E7E1C"/>
    <w:p w:rsidR="004E7E1C" w:rsidRDefault="004E7E1C" w:rsidP="004E7E1C">
      <w:pPr>
        <w:jc w:val="right"/>
        <w:rPr>
          <w:b/>
          <w:sz w:val="24"/>
          <w:szCs w:val="24"/>
        </w:rPr>
      </w:pPr>
    </w:p>
    <w:p w:rsidR="004E7E1C" w:rsidRDefault="004E7E1C" w:rsidP="004E7E1C">
      <w:pPr>
        <w:jc w:val="both"/>
        <w:rPr>
          <w:b/>
          <w:sz w:val="24"/>
          <w:szCs w:val="24"/>
        </w:rPr>
      </w:pPr>
      <w:r>
        <w:rPr>
          <w:rFonts w:ascii="Arial Narrow" w:hAnsi="Arial Narrow" w:cs="Arial Narrow"/>
          <w:noProof/>
          <w:color w:val="1F497D"/>
          <w:sz w:val="24"/>
          <w:szCs w:val="24"/>
        </w:rPr>
        <w:drawing>
          <wp:anchor distT="0" distB="0" distL="114935" distR="114935" simplePos="0" relativeHeight="251659264" behindDoc="0" locked="0" layoutInCell="1" allowOverlap="1">
            <wp:simplePos x="0" y="0"/>
            <wp:positionH relativeFrom="column">
              <wp:posOffset>-322580</wp:posOffset>
            </wp:positionH>
            <wp:positionV relativeFrom="paragraph">
              <wp:posOffset>108585</wp:posOffset>
            </wp:positionV>
            <wp:extent cx="1983740" cy="793115"/>
            <wp:effectExtent l="0" t="0" r="0" b="6985"/>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4813" t="5785" r="30513" b="70657"/>
                    <a:stretch>
                      <a:fillRect/>
                    </a:stretch>
                  </pic:blipFill>
                  <pic:spPr bwMode="auto">
                    <a:xfrm>
                      <a:off x="0" y="0"/>
                      <a:ext cx="1983740" cy="793115"/>
                    </a:xfrm>
                    <a:prstGeom prst="rect">
                      <a:avLst/>
                    </a:prstGeom>
                    <a:solidFill>
                      <a:srgbClr val="FFFFFF"/>
                    </a:solidFill>
                    <a:ln>
                      <a:noFill/>
                    </a:ln>
                  </pic:spPr>
                </pic:pic>
              </a:graphicData>
            </a:graphic>
          </wp:anchor>
        </w:drawing>
      </w:r>
    </w:p>
    <w:p w:rsidR="004E7E1C" w:rsidRDefault="004E7E1C" w:rsidP="004E7E1C">
      <w:pPr>
        <w:suppressAutoHyphens/>
        <w:rPr>
          <w:rFonts w:ascii="Arial Narrow" w:hAnsi="Arial Narrow" w:cs="Arial Narrow"/>
          <w:color w:val="1F497D"/>
          <w:sz w:val="24"/>
          <w:szCs w:val="24"/>
          <w:lang w:eastAsia="zh-CN"/>
        </w:rPr>
      </w:pPr>
    </w:p>
    <w:p w:rsidR="004E7E1C" w:rsidRDefault="004E7E1C" w:rsidP="004E7E1C">
      <w:pPr>
        <w:suppressAutoHyphens/>
        <w:rPr>
          <w:rFonts w:ascii="Arial Narrow" w:hAnsi="Arial Narrow" w:cs="Arial Narrow"/>
          <w:color w:val="1F497D"/>
          <w:sz w:val="24"/>
          <w:szCs w:val="24"/>
          <w:lang w:eastAsia="zh-CN"/>
        </w:rPr>
      </w:pPr>
    </w:p>
    <w:p w:rsidR="004E7E1C" w:rsidRDefault="004E7E1C" w:rsidP="004E7E1C">
      <w:pPr>
        <w:suppressAutoHyphens/>
        <w:rPr>
          <w:rFonts w:ascii="Arial Narrow" w:hAnsi="Arial Narrow" w:cs="Arial Narrow"/>
          <w:color w:val="1F497D"/>
          <w:sz w:val="24"/>
          <w:szCs w:val="24"/>
          <w:lang w:eastAsia="zh-CN"/>
        </w:rPr>
      </w:pPr>
    </w:p>
    <w:p w:rsidR="004E7E1C" w:rsidRDefault="004E7E1C" w:rsidP="004E7E1C">
      <w:pPr>
        <w:suppressAutoHyphens/>
        <w:rPr>
          <w:rFonts w:ascii="Arial Narrow" w:hAnsi="Arial Narrow" w:cs="Arial Narrow"/>
          <w:color w:val="1F497D"/>
          <w:sz w:val="24"/>
          <w:szCs w:val="24"/>
          <w:lang w:eastAsia="zh-CN"/>
        </w:rPr>
      </w:pPr>
    </w:p>
    <w:p w:rsidR="004E7E1C" w:rsidRPr="00AA5A91" w:rsidRDefault="004E7E1C" w:rsidP="004E7E1C">
      <w:pPr>
        <w:suppressAutoHyphens/>
        <w:jc w:val="center"/>
        <w:rPr>
          <w:rFonts w:ascii="Arial Narrow" w:hAnsi="Arial Narrow" w:cs="Arial Narrow"/>
          <w:color w:val="1F497D"/>
          <w:sz w:val="24"/>
          <w:szCs w:val="24"/>
          <w:lang w:eastAsia="zh-CN"/>
        </w:rPr>
      </w:pPr>
      <w:r>
        <w:rPr>
          <w:rFonts w:ascii="Arial Narrow" w:hAnsi="Arial Narrow" w:cs="Arial Narrow"/>
          <w:color w:val="1F497D"/>
          <w:sz w:val="24"/>
          <w:szCs w:val="24"/>
          <w:lang w:eastAsia="zh-CN"/>
        </w:rPr>
        <w:t xml:space="preserve">              </w:t>
      </w:r>
      <w:r w:rsidRPr="00AA5A91">
        <w:rPr>
          <w:rFonts w:ascii="Arial Narrow" w:hAnsi="Arial Narrow" w:cs="Arial Narrow"/>
          <w:color w:val="1F497D"/>
          <w:sz w:val="24"/>
          <w:szCs w:val="24"/>
          <w:lang w:eastAsia="zh-CN"/>
        </w:rPr>
        <w:t xml:space="preserve">Hajdúkerületi és Bihari </w:t>
      </w:r>
      <w:proofErr w:type="spellStart"/>
      <w:r w:rsidRPr="00AA5A91">
        <w:rPr>
          <w:rFonts w:ascii="Arial Narrow" w:hAnsi="Arial Narrow" w:cs="Arial Narrow"/>
          <w:color w:val="1F497D"/>
          <w:sz w:val="24"/>
          <w:szCs w:val="24"/>
          <w:lang w:eastAsia="zh-CN"/>
        </w:rPr>
        <w:t>Víziközmű</w:t>
      </w:r>
      <w:proofErr w:type="spellEnd"/>
      <w:r w:rsidRPr="00AA5A91">
        <w:rPr>
          <w:rFonts w:ascii="Arial Narrow" w:hAnsi="Arial Narrow" w:cs="Arial Narrow"/>
          <w:color w:val="1F497D"/>
          <w:sz w:val="24"/>
          <w:szCs w:val="24"/>
          <w:lang w:eastAsia="zh-CN"/>
        </w:rPr>
        <w:t xml:space="preserve"> Szolgáltató </w:t>
      </w:r>
      <w:proofErr w:type="spellStart"/>
      <w:r w:rsidRPr="00AA5A91">
        <w:rPr>
          <w:rFonts w:ascii="Arial Narrow" w:hAnsi="Arial Narrow" w:cs="Arial Narrow"/>
          <w:color w:val="1F497D"/>
          <w:sz w:val="24"/>
          <w:szCs w:val="24"/>
          <w:lang w:eastAsia="zh-CN"/>
        </w:rPr>
        <w:t>Zrt</w:t>
      </w:r>
      <w:proofErr w:type="spellEnd"/>
      <w:r w:rsidRPr="00AA5A91">
        <w:rPr>
          <w:rFonts w:ascii="Arial Narrow" w:hAnsi="Arial Narrow" w:cs="Arial Narrow"/>
          <w:color w:val="1F497D"/>
          <w:sz w:val="24"/>
          <w:szCs w:val="24"/>
          <w:lang w:eastAsia="zh-CN"/>
        </w:rPr>
        <w:t>.</w:t>
      </w:r>
    </w:p>
    <w:p w:rsidR="004E7E1C" w:rsidRPr="00AA5A91" w:rsidRDefault="004E7E1C" w:rsidP="004E7E1C">
      <w:pPr>
        <w:suppressAutoHyphens/>
        <w:jc w:val="center"/>
        <w:rPr>
          <w:rFonts w:ascii="Arial Narrow" w:hAnsi="Arial Narrow" w:cs="Arial Narrow"/>
          <w:color w:val="1F497D"/>
          <w:sz w:val="24"/>
          <w:szCs w:val="24"/>
          <w:lang w:eastAsia="zh-CN"/>
        </w:rPr>
      </w:pPr>
      <w:r w:rsidRPr="00AA5A91">
        <w:rPr>
          <w:rFonts w:ascii="Arial Narrow" w:hAnsi="Arial Narrow" w:cs="Arial Narrow"/>
          <w:color w:val="1F497D"/>
          <w:sz w:val="24"/>
          <w:szCs w:val="24"/>
          <w:lang w:eastAsia="zh-CN"/>
        </w:rPr>
        <w:tab/>
      </w:r>
      <w:r w:rsidRPr="00AA5A91">
        <w:rPr>
          <w:rFonts w:ascii="Arial Narrow" w:hAnsi="Arial Narrow" w:cs="Arial Narrow"/>
          <w:color w:val="1F497D"/>
          <w:sz w:val="24"/>
          <w:szCs w:val="24"/>
          <w:lang w:eastAsia="zh-CN"/>
        </w:rPr>
        <w:tab/>
        <w:t>4220 Hajdúböszörmény, Radnóti M. u. 1.</w:t>
      </w:r>
    </w:p>
    <w:p w:rsidR="004E7E1C" w:rsidRPr="00AA5A91" w:rsidRDefault="004E7E1C" w:rsidP="004E7E1C">
      <w:pPr>
        <w:suppressAutoHyphens/>
        <w:ind w:left="708" w:firstLine="708"/>
        <w:jc w:val="center"/>
        <w:rPr>
          <w:rFonts w:ascii="Arial Narrow" w:hAnsi="Arial Narrow" w:cs="Arial Narrow"/>
          <w:color w:val="1F497D"/>
          <w:sz w:val="24"/>
          <w:szCs w:val="24"/>
          <w:lang w:eastAsia="zh-CN"/>
        </w:rPr>
      </w:pPr>
      <w:r w:rsidRPr="00AA5A91">
        <w:rPr>
          <w:rFonts w:ascii="Arial Narrow" w:hAnsi="Arial Narrow" w:cs="Arial Narrow"/>
          <w:color w:val="1F497D"/>
          <w:sz w:val="24"/>
          <w:szCs w:val="24"/>
          <w:lang w:eastAsia="zh-CN"/>
        </w:rPr>
        <w:t>Telefon: 52/561-007, Fax: 52/561-008</w:t>
      </w:r>
    </w:p>
    <w:p w:rsidR="004E7E1C" w:rsidRPr="00AA5A91" w:rsidRDefault="004E7E1C" w:rsidP="004E7E1C">
      <w:pPr>
        <w:suppressAutoHyphens/>
        <w:ind w:left="708" w:firstLine="708"/>
        <w:jc w:val="center"/>
        <w:rPr>
          <w:rFonts w:ascii="Arial Narrow" w:hAnsi="Arial Narrow" w:cs="Arial Narrow"/>
          <w:color w:val="1F497D"/>
          <w:sz w:val="24"/>
          <w:szCs w:val="24"/>
          <w:lang w:eastAsia="zh-CN"/>
        </w:rPr>
      </w:pPr>
      <w:r w:rsidRPr="00AA5A91">
        <w:rPr>
          <w:rFonts w:ascii="Arial Narrow" w:hAnsi="Arial Narrow" w:cs="Arial Narrow"/>
          <w:color w:val="1F497D"/>
          <w:sz w:val="24"/>
          <w:szCs w:val="24"/>
          <w:lang w:eastAsia="zh-CN"/>
        </w:rPr>
        <w:t xml:space="preserve">E-mail: </w:t>
      </w:r>
      <w:hyperlink r:id="rId8" w:history="1">
        <w:r w:rsidRPr="00AA5A91">
          <w:rPr>
            <w:rFonts w:ascii="Arial Narrow" w:hAnsi="Arial Narrow"/>
            <w:color w:val="0000FF"/>
            <w:u w:val="single"/>
            <w:lang w:eastAsia="zh-CN"/>
          </w:rPr>
          <w:t>titkarsag@hbvsz.hu</w:t>
        </w:r>
      </w:hyperlink>
    </w:p>
    <w:p w:rsidR="004E7E1C" w:rsidRPr="00AA5A91" w:rsidRDefault="004E7E1C" w:rsidP="004E7E1C">
      <w:pPr>
        <w:pBdr>
          <w:bottom w:val="single" w:sz="12" w:space="1" w:color="000000"/>
        </w:pBdr>
        <w:suppressAutoHyphens/>
        <w:ind w:left="708" w:firstLine="708"/>
        <w:jc w:val="center"/>
        <w:rPr>
          <w:rFonts w:ascii="Arial Narrow" w:hAnsi="Arial Narrow" w:cs="Arial Narrow"/>
          <w:color w:val="1F497D"/>
          <w:sz w:val="24"/>
          <w:szCs w:val="24"/>
          <w:lang w:eastAsia="zh-CN"/>
        </w:rPr>
      </w:pPr>
    </w:p>
    <w:p w:rsidR="004E7E1C" w:rsidRPr="00AA5A91" w:rsidRDefault="004E7E1C" w:rsidP="004E7E1C">
      <w:pPr>
        <w:suppressAutoHyphens/>
        <w:jc w:val="both"/>
        <w:rPr>
          <w:rFonts w:ascii="Arial Narrow" w:hAnsi="Arial Narrow" w:cs="Arial Narrow"/>
          <w:sz w:val="24"/>
          <w:szCs w:val="24"/>
          <w:lang w:eastAsia="zh-CN"/>
        </w:rPr>
      </w:pPr>
    </w:p>
    <w:p w:rsidR="004E7E1C" w:rsidRPr="00AA5A91" w:rsidRDefault="004E7E1C" w:rsidP="004E7E1C">
      <w:pPr>
        <w:suppressAutoHyphens/>
        <w:jc w:val="both"/>
        <w:rPr>
          <w:rFonts w:ascii="Arial Narrow" w:hAnsi="Arial Narrow" w:cs="Arial Narrow"/>
          <w:sz w:val="24"/>
          <w:szCs w:val="24"/>
          <w:lang w:eastAsia="zh-CN"/>
        </w:rPr>
      </w:pPr>
      <w:proofErr w:type="spellStart"/>
      <w:r w:rsidRPr="00AA5A91">
        <w:rPr>
          <w:rFonts w:ascii="Arial Narrow" w:hAnsi="Arial Narrow" w:cs="Arial Narrow"/>
          <w:sz w:val="24"/>
          <w:szCs w:val="24"/>
          <w:lang w:eastAsia="zh-CN"/>
        </w:rPr>
        <w:t>Tasó</w:t>
      </w:r>
      <w:proofErr w:type="spellEnd"/>
      <w:r w:rsidRPr="00AA5A91">
        <w:rPr>
          <w:rFonts w:ascii="Arial Narrow" w:hAnsi="Arial Narrow" w:cs="Arial Narrow"/>
          <w:sz w:val="24"/>
          <w:szCs w:val="24"/>
          <w:lang w:eastAsia="zh-CN"/>
        </w:rPr>
        <w:t xml:space="preserve"> László</w:t>
      </w:r>
    </w:p>
    <w:p w:rsidR="004E7E1C" w:rsidRPr="00AA5A91" w:rsidRDefault="004E7E1C" w:rsidP="004E7E1C">
      <w:pPr>
        <w:suppressAutoHyphens/>
        <w:jc w:val="both"/>
        <w:rPr>
          <w:rFonts w:ascii="Arial Narrow" w:hAnsi="Arial Narrow" w:cs="Arial Narrow"/>
          <w:sz w:val="24"/>
          <w:szCs w:val="24"/>
          <w:lang w:eastAsia="zh-CN"/>
        </w:rPr>
      </w:pPr>
      <w:r w:rsidRPr="00AA5A91">
        <w:rPr>
          <w:rFonts w:ascii="Arial Narrow" w:hAnsi="Arial Narrow" w:cs="Arial Narrow"/>
          <w:sz w:val="24"/>
          <w:szCs w:val="24"/>
          <w:lang w:eastAsia="zh-CN"/>
        </w:rPr>
        <w:t>Vitányi István</w:t>
      </w:r>
    </w:p>
    <w:p w:rsidR="004E7E1C" w:rsidRPr="00AA5A91" w:rsidRDefault="004E7E1C" w:rsidP="004E7E1C">
      <w:pPr>
        <w:suppressAutoHyphens/>
        <w:jc w:val="both"/>
        <w:rPr>
          <w:rFonts w:ascii="Arial Narrow" w:hAnsi="Arial Narrow" w:cs="Arial Narrow"/>
          <w:sz w:val="24"/>
          <w:szCs w:val="24"/>
          <w:lang w:eastAsia="zh-CN"/>
        </w:rPr>
      </w:pPr>
      <w:r w:rsidRPr="00AA5A91">
        <w:rPr>
          <w:rFonts w:ascii="Arial Narrow" w:hAnsi="Arial Narrow" w:cs="Arial Narrow"/>
          <w:sz w:val="24"/>
          <w:szCs w:val="24"/>
          <w:lang w:eastAsia="zh-CN"/>
        </w:rPr>
        <w:t>Bodó Sándor</w:t>
      </w:r>
    </w:p>
    <w:p w:rsidR="004E7E1C" w:rsidRPr="00AA5A91" w:rsidRDefault="004E7E1C" w:rsidP="004E7E1C">
      <w:pPr>
        <w:suppressAutoHyphens/>
        <w:jc w:val="both"/>
        <w:rPr>
          <w:rFonts w:ascii="Arial Narrow" w:hAnsi="Arial Narrow" w:cs="Arial Narrow"/>
          <w:sz w:val="24"/>
          <w:szCs w:val="24"/>
          <w:lang w:eastAsia="zh-CN"/>
        </w:rPr>
      </w:pPr>
      <w:proofErr w:type="spellStart"/>
      <w:r w:rsidRPr="00AA5A91">
        <w:rPr>
          <w:rFonts w:ascii="Arial Narrow" w:hAnsi="Arial Narrow" w:cs="Arial Narrow"/>
          <w:sz w:val="24"/>
          <w:szCs w:val="24"/>
          <w:lang w:eastAsia="zh-CN"/>
        </w:rPr>
        <w:t>Dr</w:t>
      </w:r>
      <w:proofErr w:type="spellEnd"/>
      <w:r w:rsidRPr="00AA5A91">
        <w:rPr>
          <w:rFonts w:ascii="Arial Narrow" w:hAnsi="Arial Narrow" w:cs="Arial Narrow"/>
          <w:sz w:val="24"/>
          <w:szCs w:val="24"/>
          <w:lang w:eastAsia="zh-CN"/>
        </w:rPr>
        <w:t xml:space="preserve"> Tiba István</w:t>
      </w:r>
    </w:p>
    <w:p w:rsidR="004E7E1C" w:rsidRPr="00AA5A91" w:rsidRDefault="004E7E1C" w:rsidP="004E7E1C">
      <w:pPr>
        <w:suppressAutoHyphens/>
        <w:jc w:val="both"/>
        <w:rPr>
          <w:rFonts w:ascii="Arial Narrow" w:hAnsi="Arial Narrow" w:cs="Arial Narrow"/>
          <w:sz w:val="24"/>
          <w:szCs w:val="24"/>
          <w:lang w:eastAsia="zh-CN"/>
        </w:rPr>
      </w:pPr>
      <w:proofErr w:type="spellStart"/>
      <w:r w:rsidRPr="00AA5A91">
        <w:rPr>
          <w:rFonts w:ascii="Arial Narrow" w:hAnsi="Arial Narrow" w:cs="Arial Narrow"/>
          <w:sz w:val="24"/>
          <w:szCs w:val="24"/>
          <w:lang w:eastAsia="zh-CN"/>
        </w:rPr>
        <w:t>Vinnai</w:t>
      </w:r>
      <w:proofErr w:type="spellEnd"/>
      <w:r w:rsidRPr="00AA5A91">
        <w:rPr>
          <w:rFonts w:ascii="Arial Narrow" w:hAnsi="Arial Narrow" w:cs="Arial Narrow"/>
          <w:sz w:val="24"/>
          <w:szCs w:val="24"/>
          <w:lang w:eastAsia="zh-CN"/>
        </w:rPr>
        <w:t xml:space="preserve"> Győző</w:t>
      </w:r>
    </w:p>
    <w:p w:rsidR="004E7E1C" w:rsidRPr="00AA5A91" w:rsidRDefault="004E7E1C" w:rsidP="004E7E1C">
      <w:pPr>
        <w:suppressAutoHyphens/>
        <w:jc w:val="both"/>
        <w:rPr>
          <w:rFonts w:ascii="Arial Narrow" w:hAnsi="Arial Narrow" w:cs="Arial Narrow"/>
          <w:sz w:val="24"/>
          <w:szCs w:val="24"/>
          <w:lang w:eastAsia="zh-CN"/>
        </w:rPr>
      </w:pPr>
      <w:proofErr w:type="spellStart"/>
      <w:r w:rsidRPr="00AA5A91">
        <w:rPr>
          <w:rFonts w:ascii="Arial Narrow" w:hAnsi="Arial Narrow" w:cs="Arial Narrow"/>
          <w:sz w:val="24"/>
          <w:szCs w:val="24"/>
          <w:lang w:eastAsia="zh-CN"/>
        </w:rPr>
        <w:t>Dr</w:t>
      </w:r>
      <w:proofErr w:type="spellEnd"/>
      <w:r w:rsidRPr="00AA5A91">
        <w:rPr>
          <w:rFonts w:ascii="Arial Narrow" w:hAnsi="Arial Narrow" w:cs="Arial Narrow"/>
          <w:sz w:val="24"/>
          <w:szCs w:val="24"/>
          <w:lang w:eastAsia="zh-CN"/>
        </w:rPr>
        <w:t xml:space="preserve"> Fülöp Erik</w:t>
      </w:r>
    </w:p>
    <w:p w:rsidR="004E7E1C" w:rsidRPr="00AA5A91" w:rsidRDefault="004E7E1C" w:rsidP="004E7E1C">
      <w:pPr>
        <w:suppressAutoHyphens/>
        <w:jc w:val="both"/>
        <w:rPr>
          <w:rFonts w:ascii="Arial Narrow" w:hAnsi="Arial Narrow" w:cs="Arial Narrow"/>
          <w:sz w:val="24"/>
          <w:szCs w:val="24"/>
          <w:lang w:eastAsia="zh-CN"/>
        </w:rPr>
      </w:pPr>
    </w:p>
    <w:p w:rsidR="004E7E1C" w:rsidRPr="00AA5A91" w:rsidRDefault="004E7E1C" w:rsidP="004E7E1C">
      <w:pPr>
        <w:suppressAutoHyphens/>
        <w:jc w:val="both"/>
        <w:rPr>
          <w:rFonts w:ascii="Arial Narrow" w:hAnsi="Arial Narrow" w:cs="Calibri"/>
          <w:sz w:val="24"/>
          <w:szCs w:val="24"/>
          <w:lang w:eastAsia="zh-CN"/>
        </w:rPr>
      </w:pPr>
      <w:r w:rsidRPr="00AA5A91">
        <w:rPr>
          <w:rFonts w:ascii="Arial Narrow" w:hAnsi="Arial Narrow" w:cs="Arial Narrow"/>
          <w:sz w:val="24"/>
          <w:szCs w:val="24"/>
          <w:lang w:eastAsia="zh-CN"/>
        </w:rPr>
        <w:t>Országgyűlési Képviselő Urak részére</w:t>
      </w: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jc w:val="right"/>
        <w:rPr>
          <w:rFonts w:ascii="Arial Narrow" w:hAnsi="Arial Narrow" w:cs="Calibri"/>
          <w:sz w:val="24"/>
          <w:szCs w:val="24"/>
          <w:lang w:eastAsia="zh-CN"/>
        </w:rPr>
      </w:pPr>
      <w:r w:rsidRPr="00AA5A91">
        <w:rPr>
          <w:rFonts w:ascii="Arial Narrow" w:hAnsi="Arial Narrow" w:cs="Calibri"/>
          <w:sz w:val="24"/>
          <w:szCs w:val="24"/>
          <w:u w:val="single"/>
          <w:lang w:eastAsia="zh-CN"/>
        </w:rPr>
        <w:t>Tárgy:</w:t>
      </w:r>
      <w:r w:rsidRPr="00AA5A91">
        <w:rPr>
          <w:rFonts w:ascii="Arial Narrow" w:hAnsi="Arial Narrow" w:cs="Calibri"/>
          <w:sz w:val="24"/>
          <w:szCs w:val="24"/>
          <w:lang w:eastAsia="zh-CN"/>
        </w:rPr>
        <w:t xml:space="preserve"> Általános tájékoztató a </w:t>
      </w:r>
      <w:proofErr w:type="spellStart"/>
      <w:r w:rsidRPr="00AA5A91">
        <w:rPr>
          <w:rFonts w:ascii="Arial Narrow" w:hAnsi="Arial Narrow" w:cs="Calibri"/>
          <w:sz w:val="24"/>
          <w:szCs w:val="24"/>
          <w:lang w:eastAsia="zh-CN"/>
        </w:rPr>
        <w:t>HBVSz</w:t>
      </w:r>
      <w:proofErr w:type="spellEnd"/>
      <w:r w:rsidRPr="00AA5A91">
        <w:rPr>
          <w:rFonts w:ascii="Arial Narrow" w:hAnsi="Arial Narrow" w:cs="Calibri"/>
          <w:sz w:val="24"/>
          <w:szCs w:val="24"/>
          <w:lang w:eastAsia="zh-CN"/>
        </w:rPr>
        <w:t xml:space="preserve"> </w:t>
      </w:r>
      <w:proofErr w:type="spellStart"/>
      <w:r w:rsidRPr="00AA5A91">
        <w:rPr>
          <w:rFonts w:ascii="Arial Narrow" w:hAnsi="Arial Narrow" w:cs="Calibri"/>
          <w:sz w:val="24"/>
          <w:szCs w:val="24"/>
          <w:lang w:eastAsia="zh-CN"/>
        </w:rPr>
        <w:t>Zrt-t</w:t>
      </w:r>
      <w:proofErr w:type="spellEnd"/>
      <w:r w:rsidRPr="00AA5A91">
        <w:rPr>
          <w:rFonts w:ascii="Arial Narrow" w:hAnsi="Arial Narrow" w:cs="Calibri"/>
          <w:sz w:val="24"/>
          <w:szCs w:val="24"/>
          <w:lang w:eastAsia="zh-CN"/>
        </w:rPr>
        <w:t xml:space="preserve"> érintő átfogó</w:t>
      </w:r>
    </w:p>
    <w:p w:rsidR="004E7E1C" w:rsidRPr="00AA5A91" w:rsidRDefault="004E7E1C" w:rsidP="004E7E1C">
      <w:pPr>
        <w:suppressAutoHyphens/>
        <w:ind w:left="4248"/>
        <w:jc w:val="center"/>
        <w:rPr>
          <w:rFonts w:ascii="Arial Narrow" w:hAnsi="Arial Narrow" w:cs="Calibri"/>
          <w:sz w:val="24"/>
          <w:szCs w:val="24"/>
          <w:lang w:eastAsia="zh-CN"/>
        </w:rPr>
      </w:pPr>
      <w:r w:rsidRPr="00AA5A91">
        <w:rPr>
          <w:rFonts w:ascii="Arial Narrow" w:hAnsi="Arial Narrow" w:cs="Calibri"/>
          <w:sz w:val="24"/>
          <w:szCs w:val="24"/>
          <w:lang w:eastAsia="zh-CN"/>
        </w:rPr>
        <w:t xml:space="preserve">     </w:t>
      </w:r>
      <w:proofErr w:type="gramStart"/>
      <w:r w:rsidRPr="00AA5A91">
        <w:rPr>
          <w:rFonts w:ascii="Arial Narrow" w:hAnsi="Arial Narrow" w:cs="Calibri"/>
          <w:sz w:val="24"/>
          <w:szCs w:val="24"/>
          <w:lang w:eastAsia="zh-CN"/>
        </w:rPr>
        <w:t>gazdasági</w:t>
      </w:r>
      <w:proofErr w:type="gramEnd"/>
      <w:r w:rsidRPr="00AA5A91">
        <w:rPr>
          <w:rFonts w:ascii="Arial Narrow" w:hAnsi="Arial Narrow" w:cs="Calibri"/>
          <w:sz w:val="24"/>
          <w:szCs w:val="24"/>
          <w:lang w:eastAsia="zh-CN"/>
        </w:rPr>
        <w:t xml:space="preserve"> és személyi problémákról</w:t>
      </w: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spacing w:after="120"/>
        <w:ind w:firstLine="708"/>
        <w:jc w:val="both"/>
        <w:rPr>
          <w:rFonts w:ascii="Arial Narrow" w:hAnsi="Arial Narrow" w:cs="Calibri"/>
          <w:i/>
          <w:sz w:val="24"/>
          <w:szCs w:val="24"/>
          <w:lang w:eastAsia="zh-CN"/>
        </w:rPr>
      </w:pPr>
      <w:r w:rsidRPr="00AA5A91">
        <w:rPr>
          <w:rFonts w:ascii="Arial Narrow" w:hAnsi="Arial Narrow" w:cs="Calibri"/>
          <w:i/>
          <w:sz w:val="24"/>
          <w:szCs w:val="24"/>
          <w:lang w:eastAsia="zh-CN"/>
        </w:rPr>
        <w:t>Tisztelt Képviselő Úr!</w:t>
      </w: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 </w:t>
      </w:r>
      <w:proofErr w:type="spellStart"/>
      <w:r w:rsidRPr="00AA5A91">
        <w:rPr>
          <w:rFonts w:ascii="Arial Narrow" w:hAnsi="Arial Narrow" w:cs="Calibri"/>
          <w:sz w:val="24"/>
          <w:szCs w:val="24"/>
          <w:lang w:eastAsia="zh-CN"/>
        </w:rPr>
        <w:t>HBVSz</w:t>
      </w:r>
      <w:proofErr w:type="spellEnd"/>
      <w:r w:rsidRPr="00AA5A91">
        <w:rPr>
          <w:rFonts w:ascii="Arial Narrow" w:hAnsi="Arial Narrow" w:cs="Calibri"/>
          <w:sz w:val="24"/>
          <w:szCs w:val="24"/>
          <w:lang w:eastAsia="zh-CN"/>
        </w:rPr>
        <w:t xml:space="preserve"> </w:t>
      </w:r>
      <w:proofErr w:type="spellStart"/>
      <w:r w:rsidRPr="00AA5A91">
        <w:rPr>
          <w:rFonts w:ascii="Arial Narrow" w:hAnsi="Arial Narrow" w:cs="Calibri"/>
          <w:sz w:val="24"/>
          <w:szCs w:val="24"/>
          <w:lang w:eastAsia="zh-CN"/>
        </w:rPr>
        <w:t>Zrt-t</w:t>
      </w:r>
      <w:proofErr w:type="spellEnd"/>
      <w:r w:rsidRPr="00AA5A91">
        <w:rPr>
          <w:rFonts w:ascii="Arial Narrow" w:hAnsi="Arial Narrow" w:cs="Calibri"/>
          <w:sz w:val="24"/>
          <w:szCs w:val="24"/>
          <w:lang w:eastAsia="zh-CN"/>
        </w:rPr>
        <w:t xml:space="preserve"> 11 önkormányzat alapította, tekintettel arra, hogy a 2011.12.30-án elfogadott (CCIX. tv.)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törvény alapvető üzemeltetési feltételként szabta az üzemeltetés minimális nagyságát (150.000 szolgáltatási egység). Az alapításkor számított összevont szolgáltatási egység 168.000 volt, ami mai napra meghaladja a 180.000 egységet. E tekintetben gazdasági társaságunk a legfontosabb törvényi kritériumnak eleget tesz. </w:t>
      </w: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 </w:t>
      </w:r>
      <w:proofErr w:type="spellStart"/>
      <w:r w:rsidRPr="00AA5A91">
        <w:rPr>
          <w:rFonts w:ascii="Arial Narrow" w:hAnsi="Arial Narrow" w:cs="Calibri"/>
          <w:sz w:val="24"/>
          <w:szCs w:val="24"/>
          <w:lang w:eastAsia="zh-CN"/>
        </w:rPr>
        <w:t>Zrt-t</w:t>
      </w:r>
      <w:proofErr w:type="spellEnd"/>
      <w:r w:rsidRPr="00AA5A91">
        <w:rPr>
          <w:rFonts w:ascii="Arial Narrow" w:hAnsi="Arial Narrow" w:cs="Calibri"/>
          <w:sz w:val="24"/>
          <w:szCs w:val="24"/>
          <w:lang w:eastAsia="zh-CN"/>
        </w:rPr>
        <w:t xml:space="preserve"> összességében 20.000.000,- Ft törzstőkével alapították a tulajdonosok. 2012. június 1-jétől elindult a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szolgáltatás Hajdúhadház, Téglás, Bocskaikert településeken, majd a teljes vertikumú üzemeltetés 2013. január 1-jétől kezdődött meg. Az üzemeltetés megkezdésekor a </w:t>
      </w:r>
      <w:proofErr w:type="spellStart"/>
      <w:r w:rsidRPr="00AA5A91">
        <w:rPr>
          <w:rFonts w:ascii="Arial Narrow" w:hAnsi="Arial Narrow" w:cs="Calibri"/>
          <w:sz w:val="24"/>
          <w:szCs w:val="24"/>
          <w:lang w:eastAsia="zh-CN"/>
        </w:rPr>
        <w:t>HBVSz</w:t>
      </w:r>
      <w:proofErr w:type="spellEnd"/>
      <w:r w:rsidRPr="00AA5A91">
        <w:rPr>
          <w:rFonts w:ascii="Arial Narrow" w:hAnsi="Arial Narrow" w:cs="Calibri"/>
          <w:sz w:val="24"/>
          <w:szCs w:val="24"/>
          <w:lang w:eastAsia="zh-CN"/>
        </w:rPr>
        <w:t xml:space="preserve"> </w:t>
      </w:r>
      <w:proofErr w:type="spellStart"/>
      <w:r w:rsidRPr="00AA5A91">
        <w:rPr>
          <w:rFonts w:ascii="Arial Narrow" w:hAnsi="Arial Narrow" w:cs="Calibri"/>
          <w:sz w:val="24"/>
          <w:szCs w:val="24"/>
          <w:lang w:eastAsia="zh-CN"/>
        </w:rPr>
        <w:t>Zrt</w:t>
      </w:r>
      <w:proofErr w:type="spellEnd"/>
      <w:r w:rsidRPr="00AA5A91">
        <w:rPr>
          <w:rFonts w:ascii="Arial Narrow" w:hAnsi="Arial Narrow" w:cs="Calibri"/>
          <w:sz w:val="24"/>
          <w:szCs w:val="24"/>
          <w:lang w:eastAsia="zh-CN"/>
        </w:rPr>
        <w:t xml:space="preserve"> semmilyen működtetési eszközzel, vagyontárggyal és raktárkészlettel nem rendelkezett. A működéshez szükséges pénzeszközöket – kb. 200.000.000,- Ft – hitelből biztosítottuk. Az elmúlt 5 év során a működtető vagyontárgyakat az önkormányzatok tulajdonában álló korábbi üzemeltetőktől folyamatosan béreltük, illetve megvásároltuk. Az üzembiztonság növelése érdekében jelentős mértékű újonnan vásárolt működtető vagyontárgyakra tettünk szert. Ezek elsősorban szivattyúk, aggregátorok, szerszámok, berendezések, munkagépek és gépjárművek. Felügyeleti szerveink működésünket folyamatosan ellenőrzik és a működéssel összefüggő semmilyen mértékű bírságot nem állapított meg. Sajnálatos módon a cég teljes vertikumú működésének időpontjával egyező időpontban bevezetésre került a 10%-os rezsicsökkentés, ennek alakulását részletesen az alábbi táblázatban mutatjuk be:</w:t>
      </w: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Hajdúszoboszló:</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29"/>
        <w:gridCol w:w="1227"/>
        <w:gridCol w:w="2572"/>
        <w:gridCol w:w="1654"/>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180,31</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18,03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162,28</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145,67</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14,57</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131,1</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házi átemelő</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145,67</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14,57</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131,1</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293,38</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Földes: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1"/>
        <w:gridCol w:w="1225"/>
        <w:gridCol w:w="2572"/>
        <w:gridCol w:w="1654"/>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300,8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30,1</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270,7</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147,9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133,1</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házi átemelő</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147,9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133,1</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403,8</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Tiszavasvári, Szorgalmatos: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1"/>
        <w:gridCol w:w="1225"/>
        <w:gridCol w:w="2572"/>
        <w:gridCol w:w="1654"/>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248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223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251,9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24,4</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227,5</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házi átemelő</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251,9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24,4</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227,5</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450,5</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Hajdúböszörmény:</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1"/>
        <w:gridCol w:w="1225"/>
        <w:gridCol w:w="2572"/>
        <w:gridCol w:w="1654"/>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257</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25,7</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231,3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243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24,3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218,7</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házi átemelő</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219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21,9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197,1</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450,0</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Hajdúhadház:</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0"/>
        <w:gridCol w:w="1225"/>
        <w:gridCol w:w="2572"/>
        <w:gridCol w:w="1655"/>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272,25</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172</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17,2</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154,8</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alapdíj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128,25/hó</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vízterhelési 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11,7</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555,3</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Bocskaikert:</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1"/>
        <w:gridCol w:w="1225"/>
        <w:gridCol w:w="2572"/>
        <w:gridCol w:w="1654"/>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328,5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32,8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295,2</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282</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28,2</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253,8</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alapdíj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146</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14,6</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131,4/hó</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680,4</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Téglás:</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0"/>
        <w:gridCol w:w="1225"/>
        <w:gridCol w:w="2572"/>
        <w:gridCol w:w="1655"/>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272,25</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171</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17,1</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153,9</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alapdíj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14,25</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128,25/hó</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vízterhelési 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11,7</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554,4</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Berettyóújfalu:</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3"/>
        <w:gridCol w:w="1226"/>
        <w:gridCol w:w="2570"/>
        <w:gridCol w:w="1653"/>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204,8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20,48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184,32</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263,48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26,348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237,13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környezetterhelési 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4,98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0,498</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4,48</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421,45</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Polgár:</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31"/>
        <w:gridCol w:w="1225"/>
        <w:gridCol w:w="2572"/>
        <w:gridCol w:w="1654"/>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239,4</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23,94</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215,46</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304</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30,4</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273,6</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vízterhelési 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7,9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0,79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7,11</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489,06</w:t>
            </w:r>
          </w:p>
        </w:tc>
      </w:tr>
    </w:tbl>
    <w:p w:rsidR="004E7E1C" w:rsidRPr="00AA5A91" w:rsidRDefault="004E7E1C" w:rsidP="004E7E1C">
      <w:pPr>
        <w:suppressAutoHyphens/>
        <w:rPr>
          <w:rFonts w:ascii="Arial Narrow" w:hAnsi="Arial Narrow"/>
          <w:b/>
          <w:bCs/>
          <w:sz w:val="24"/>
          <w:szCs w:val="24"/>
          <w:u w:val="single"/>
        </w:rPr>
      </w:pPr>
    </w:p>
    <w:p w:rsidR="004E7E1C" w:rsidRPr="00AA5A91" w:rsidRDefault="004E7E1C" w:rsidP="004E7E1C">
      <w:pPr>
        <w:suppressAutoHyphens/>
        <w:rPr>
          <w:rFonts w:ascii="Arial Narrow" w:hAnsi="Arial Narrow"/>
          <w:sz w:val="24"/>
          <w:szCs w:val="24"/>
        </w:rPr>
      </w:pPr>
      <w:r w:rsidRPr="00AA5A91">
        <w:rPr>
          <w:rFonts w:ascii="Arial Narrow" w:hAnsi="Arial Narrow"/>
          <w:b/>
          <w:bCs/>
          <w:sz w:val="24"/>
          <w:szCs w:val="24"/>
          <w:u w:val="single"/>
        </w:rPr>
        <w:t>Hajdúdorog:</w:t>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729"/>
        <w:gridCol w:w="1227"/>
        <w:gridCol w:w="2572"/>
        <w:gridCol w:w="1654"/>
      </w:tblGrid>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 Nettó ár</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Régi ár Ft/m</w:t>
            </w:r>
            <w:r w:rsidRPr="00AA5A91">
              <w:rPr>
                <w:rFonts w:ascii="Arial Narrow" w:hAnsi="Arial Narrow"/>
                <w:sz w:val="24"/>
                <w:szCs w:val="24"/>
                <w:vertAlign w:val="superscript"/>
              </w:rPr>
              <w:t>3</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Csökkentés nagysága (10%)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Új egységár Ft/m</w:t>
            </w:r>
            <w:r w:rsidRPr="00AA5A91">
              <w:rPr>
                <w:rFonts w:ascii="Arial Narrow" w:hAnsi="Arial Narrow"/>
                <w:sz w:val="24"/>
                <w:szCs w:val="24"/>
                <w:vertAlign w:val="superscript"/>
              </w:rPr>
              <w:t>3</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proofErr w:type="gramStart"/>
            <w:r w:rsidRPr="00AA5A91">
              <w:rPr>
                <w:rFonts w:ascii="Arial Narrow" w:hAnsi="Arial Narrow"/>
                <w:sz w:val="24"/>
                <w:szCs w:val="24"/>
              </w:rPr>
              <w:t>ivóvíz fogyasztással</w:t>
            </w:r>
            <w:proofErr w:type="gramEnd"/>
            <w:r w:rsidRPr="00AA5A91">
              <w:rPr>
                <w:rFonts w:ascii="Arial Narrow" w:hAnsi="Arial Narrow"/>
                <w:sz w:val="24"/>
                <w:szCs w:val="24"/>
              </w:rPr>
              <w:t xml:space="preserve"> arányos 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190</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19</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171</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elvez. mennyiséggel arányos szennyvízdíj</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171,66</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17,16</w:t>
            </w: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154,49</w:t>
            </w:r>
          </w:p>
        </w:tc>
      </w:tr>
      <w:tr w:rsidR="004E7E1C" w:rsidRPr="00AA5A91" w:rsidTr="008F68EF">
        <w:trPr>
          <w:tblCellSpacing w:w="15" w:type="dxa"/>
        </w:trPr>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Víz-szennyvízdíj összesen</w:t>
            </w: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p>
        </w:tc>
        <w:tc>
          <w:tcPr>
            <w:tcW w:w="0" w:type="auto"/>
            <w:vAlign w:val="center"/>
            <w:hideMark/>
          </w:tcPr>
          <w:p w:rsidR="004E7E1C" w:rsidRPr="00AA5A91" w:rsidRDefault="004E7E1C" w:rsidP="008F68EF">
            <w:pPr>
              <w:suppressAutoHyphens/>
              <w:rPr>
                <w:rFonts w:ascii="Arial Narrow" w:hAnsi="Arial Narrow"/>
                <w:sz w:val="24"/>
                <w:szCs w:val="24"/>
              </w:rPr>
            </w:pPr>
            <w:r w:rsidRPr="00AA5A91">
              <w:rPr>
                <w:rFonts w:ascii="Arial Narrow" w:hAnsi="Arial Narrow"/>
                <w:sz w:val="24"/>
                <w:szCs w:val="24"/>
              </w:rPr>
              <w:t>325,49</w:t>
            </w:r>
          </w:p>
        </w:tc>
      </w:tr>
    </w:tbl>
    <w:p w:rsidR="004E7E1C" w:rsidRPr="00AA5A91" w:rsidRDefault="004E7E1C" w:rsidP="004E7E1C">
      <w:pPr>
        <w:suppressAutoHyphens/>
        <w:rPr>
          <w:rFonts w:ascii="Arial Narrow" w:hAnsi="Arial Narrow" w:cs="Calibri"/>
          <w:sz w:val="24"/>
          <w:szCs w:val="24"/>
          <w:lang w:eastAsia="zh-CN"/>
        </w:rPr>
      </w:pP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Áraink a korábbi önkormányzati üzemeltetési rendszerből fakadnak, melynek sajátossága a fogyasztói teherviselés csökkentése volt, valós amortizációs költség elismerése nélkül és így jelenleg az országos átlag vízdíj árak 60%-át nem haladják meg.</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 korábban említett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törvény 2012. január 1-jétől felügyeleti díjat állapít meg, amely árbevétel arányosan további 1%, cégszinten 20-22 millió Ft többletkiadást jelent. Bevezetésre került az ún. </w:t>
      </w:r>
      <w:proofErr w:type="gramStart"/>
      <w:r w:rsidRPr="00AA5A91">
        <w:rPr>
          <w:rFonts w:ascii="Arial Narrow" w:hAnsi="Arial Narrow" w:cs="Calibri"/>
          <w:sz w:val="24"/>
          <w:szCs w:val="24"/>
          <w:lang w:eastAsia="zh-CN"/>
        </w:rPr>
        <w:t>közműadó</w:t>
      </w:r>
      <w:proofErr w:type="gramEnd"/>
      <w:r w:rsidRPr="00AA5A91">
        <w:rPr>
          <w:rFonts w:ascii="Arial Narrow" w:hAnsi="Arial Narrow" w:cs="Calibri"/>
          <w:sz w:val="24"/>
          <w:szCs w:val="24"/>
          <w:lang w:eastAsia="zh-CN"/>
        </w:rPr>
        <w:t>, melynek mértéke 150,- Ft/</w:t>
      </w:r>
      <w:proofErr w:type="spellStart"/>
      <w:r w:rsidRPr="00AA5A91">
        <w:rPr>
          <w:rFonts w:ascii="Arial Narrow" w:hAnsi="Arial Narrow" w:cs="Calibri"/>
          <w:sz w:val="24"/>
          <w:szCs w:val="24"/>
          <w:lang w:eastAsia="zh-CN"/>
        </w:rPr>
        <w:t>fm</w:t>
      </w:r>
      <w:proofErr w:type="spellEnd"/>
      <w:r w:rsidRPr="00AA5A91">
        <w:rPr>
          <w:rFonts w:ascii="Arial Narrow" w:hAnsi="Arial Narrow" w:cs="Calibri"/>
          <w:sz w:val="24"/>
          <w:szCs w:val="24"/>
          <w:lang w:eastAsia="zh-CN"/>
        </w:rPr>
        <w:t>, ivóvíz hálózatra és szennyvíz hálózatra vetítve egyaránt. Esetünkben ez mintegy 183 millió Ft, ez az árbevétel 8,7%-</w:t>
      </w:r>
      <w:proofErr w:type="gramStart"/>
      <w:r w:rsidRPr="00AA5A91">
        <w:rPr>
          <w:rFonts w:ascii="Arial Narrow" w:hAnsi="Arial Narrow" w:cs="Calibri"/>
          <w:sz w:val="24"/>
          <w:szCs w:val="24"/>
          <w:lang w:eastAsia="zh-CN"/>
        </w:rPr>
        <w:t>a.</w:t>
      </w:r>
      <w:proofErr w:type="gramEnd"/>
      <w:r w:rsidRPr="00AA5A91">
        <w:rPr>
          <w:rFonts w:ascii="Arial Narrow" w:hAnsi="Arial Narrow" w:cs="Calibri"/>
          <w:sz w:val="24"/>
          <w:szCs w:val="24"/>
          <w:lang w:eastAsia="zh-CN"/>
        </w:rPr>
        <w:t xml:space="preserve"> Összehasonlítva nagyobb településekkel, ez Debrecenben 3%, a fővárosban 1% alatti érték.</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Megváltozott az ÁFA mértéke, 25%-ról 27%-ra emelkedett, természetesen ezt a megemelkedett ÁFA tartalmat az árban érvényesíteni a jogszabály nem engedte.</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Az elmúlt évek egyéb kormányrendeletei és hatósági határozatai jelentős olyan mértékű terhet tettek a </w:t>
      </w:r>
      <w:proofErr w:type="spellStart"/>
      <w:r w:rsidRPr="00AA5A91">
        <w:rPr>
          <w:rFonts w:ascii="Arial Narrow" w:hAnsi="Arial Narrow" w:cs="Calibri"/>
          <w:sz w:val="24"/>
          <w:szCs w:val="24"/>
          <w:lang w:eastAsia="zh-CN"/>
        </w:rPr>
        <w:t>vízkiközmű</w:t>
      </w:r>
      <w:proofErr w:type="spellEnd"/>
      <w:r w:rsidRPr="00AA5A91">
        <w:rPr>
          <w:rFonts w:ascii="Arial Narrow" w:hAnsi="Arial Narrow" w:cs="Calibri"/>
          <w:sz w:val="24"/>
          <w:szCs w:val="24"/>
          <w:lang w:eastAsia="zh-CN"/>
        </w:rPr>
        <w:t xml:space="preserve"> szolgáltatók feladataivá, melyeket az árban érvényesíteni nem lehetett. Ilyenek pl. a számlarendszer akkreditációja, mely eddig összesen több mint 50 millió Ft-ba került, </w:t>
      </w:r>
      <w:proofErr w:type="spellStart"/>
      <w:r w:rsidRPr="00AA5A91">
        <w:rPr>
          <w:rFonts w:ascii="Arial Narrow" w:hAnsi="Arial Narrow" w:cs="Calibri"/>
          <w:sz w:val="24"/>
          <w:szCs w:val="24"/>
          <w:lang w:eastAsia="zh-CN"/>
        </w:rPr>
        <w:t>call</w:t>
      </w:r>
      <w:proofErr w:type="spellEnd"/>
      <w:r w:rsidRPr="00AA5A91">
        <w:rPr>
          <w:rFonts w:ascii="Arial Narrow" w:hAnsi="Arial Narrow" w:cs="Calibri"/>
          <w:sz w:val="24"/>
          <w:szCs w:val="24"/>
          <w:lang w:eastAsia="zh-CN"/>
        </w:rPr>
        <w:t xml:space="preserve"> center kiépítése és legújabban független közvélemény-kutató cég alkalmazásának kikényszerítése.</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2017 végéig jelentős árbevétellel rendelkeztünk a közműegyeztetések tekintetében. A jogszabályi háttérrel a törvényalkotó biztosította a közszolgáltató terhére a digitális közműtérképek elkészítésének kényszerét, melyet ugyancsak törvényi háttérrel át kellett adni a Lechner Tudásközpont részére. Ezáltal természetesen a közműegyeztetéssel összefüggő összes feladat és költség megmaradt, míg bevételeink gyakorlatilag központosításra kerültek.</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2018. május 25-től az adatok kezelésére európai jogszabályok alapján meg kell felelnünk az ún. GDPR rendszernek, mely jogszabály a magyar jogszabályi környezetben végrehajthatatlan, költségei beláthatatlanok és nem végesek.</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Az elmúlt 5 év működési időszaka alatt ugyan az ágazatot érintő </w:t>
      </w:r>
      <w:proofErr w:type="gramStart"/>
      <w:r w:rsidRPr="00AA5A91">
        <w:rPr>
          <w:rFonts w:ascii="Arial Narrow" w:hAnsi="Arial Narrow" w:cs="Calibri"/>
          <w:sz w:val="24"/>
          <w:szCs w:val="24"/>
          <w:lang w:eastAsia="zh-CN"/>
        </w:rPr>
        <w:t>infláció jelentős</w:t>
      </w:r>
      <w:proofErr w:type="gramEnd"/>
      <w:r w:rsidRPr="00AA5A91">
        <w:rPr>
          <w:rFonts w:ascii="Arial Narrow" w:hAnsi="Arial Narrow" w:cs="Calibri"/>
          <w:sz w:val="24"/>
          <w:szCs w:val="24"/>
          <w:lang w:eastAsia="zh-CN"/>
        </w:rPr>
        <w:t xml:space="preserve"> mértékben meghaladta az átlag inflációt, de 2017. végéig ezt nagy mértékben kompenzálta a villamos- és gáz energia jelentős mértékű folyamatos csökkenése, valamint az üzemanyag árak inflációt sem követő emelkedése. A </w:t>
      </w:r>
      <w:proofErr w:type="spellStart"/>
      <w:r w:rsidRPr="00AA5A91">
        <w:rPr>
          <w:rFonts w:ascii="Arial Narrow" w:hAnsi="Arial Narrow" w:cs="Calibri"/>
          <w:sz w:val="24"/>
          <w:szCs w:val="24"/>
          <w:lang w:eastAsia="zh-CN"/>
        </w:rPr>
        <w:t>Zrt</w:t>
      </w:r>
      <w:proofErr w:type="spellEnd"/>
      <w:r w:rsidRPr="00AA5A91">
        <w:rPr>
          <w:rFonts w:ascii="Arial Narrow" w:hAnsi="Arial Narrow" w:cs="Calibri"/>
          <w:sz w:val="24"/>
          <w:szCs w:val="24"/>
          <w:lang w:eastAsia="zh-CN"/>
        </w:rPr>
        <w:t xml:space="preserve"> villamos energia felhasználása meghaladja az évi 250 millió Ft-ot, amely ebben az évben már 22%-ot emelkedett, illetve a 40 millió Ft-os üzemanyag költség ebben az évben már több mint 25%-ot emelkedett.</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2012-től 2017. január 1-ig béremelést végrehajtani nem tudtunk. 2017. január 1-től – a minimálbér, a garantált bérminimum, illetve a dolgozók elvándorlásának és bérfeszültségek kezelésére - 15%, majd 2018. január 1-től újabb 12%-os béremelést hajtottunk végre. Kvalifikált szakmunkásaink folyamatosan lemorzsolódnak, őket Nyugat-Európai vagy Nyugat-Magyarországi cégek lényesen magasabb bérért cserébe elcsábítják. Ezzel párhuzamosan az is megállapítható, hogy az iskolarendszerben érdemi utánpótlásképzés gyakorlatilag nincs.</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 </w:t>
      </w:r>
      <w:proofErr w:type="spellStart"/>
      <w:r w:rsidRPr="00AA5A91">
        <w:rPr>
          <w:rFonts w:ascii="Arial Narrow" w:hAnsi="Arial Narrow" w:cs="Calibri"/>
          <w:sz w:val="24"/>
          <w:szCs w:val="24"/>
          <w:lang w:eastAsia="zh-CN"/>
        </w:rPr>
        <w:t>HBVSz</w:t>
      </w:r>
      <w:proofErr w:type="spellEnd"/>
      <w:r w:rsidRPr="00AA5A91">
        <w:rPr>
          <w:rFonts w:ascii="Arial Narrow" w:hAnsi="Arial Narrow" w:cs="Calibri"/>
          <w:sz w:val="24"/>
          <w:szCs w:val="24"/>
          <w:lang w:eastAsia="zh-CN"/>
        </w:rPr>
        <w:t xml:space="preserve"> </w:t>
      </w:r>
      <w:proofErr w:type="spellStart"/>
      <w:r w:rsidRPr="00AA5A91">
        <w:rPr>
          <w:rFonts w:ascii="Arial Narrow" w:hAnsi="Arial Narrow" w:cs="Calibri"/>
          <w:sz w:val="24"/>
          <w:szCs w:val="24"/>
          <w:lang w:eastAsia="zh-CN"/>
        </w:rPr>
        <w:t>Zrt</w:t>
      </w:r>
      <w:proofErr w:type="spellEnd"/>
      <w:r w:rsidRPr="00AA5A91">
        <w:rPr>
          <w:rFonts w:ascii="Arial Narrow" w:hAnsi="Arial Narrow" w:cs="Calibri"/>
          <w:sz w:val="24"/>
          <w:szCs w:val="24"/>
          <w:lang w:eastAsia="zh-CN"/>
        </w:rPr>
        <w:t xml:space="preserve"> teljes működési területén önkormányzati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vagyonelemeket működtet, mely vagyonelemeknek az elmúlt időszakban nem történt meg a felértékelése. Az azonban megállapítható, hogy </w:t>
      </w:r>
      <w:proofErr w:type="gramStart"/>
      <w:r w:rsidRPr="00AA5A91">
        <w:rPr>
          <w:rFonts w:ascii="Arial Narrow" w:hAnsi="Arial Narrow" w:cs="Calibri"/>
          <w:sz w:val="24"/>
          <w:szCs w:val="24"/>
          <w:lang w:eastAsia="zh-CN"/>
        </w:rPr>
        <w:t>ezen</w:t>
      </w:r>
      <w:proofErr w:type="gramEnd"/>
      <w:r w:rsidRPr="00AA5A91">
        <w:rPr>
          <w:rFonts w:ascii="Arial Narrow" w:hAnsi="Arial Narrow" w:cs="Calibri"/>
          <w:sz w:val="24"/>
          <w:szCs w:val="24"/>
          <w:lang w:eastAsia="zh-CN"/>
        </w:rPr>
        <w:t xml:space="preserve"> vagyonelemek esetleges újraépítése 250-350 milliárd Ft-ba kerülne (új értéken). A vagyonelemek éves amortizációjának fedezetére a keletkezett árbevétel nem nyújtott fedezetet, így a közművagyon nettó értéke folyamatosan csökken, amely jelentősen veszélyezteti az üzembiztonságot és a szolgáltatások színvonalát. Az eszközök felújítására és pótlására az elmúlt 5 évben évente átlagosan 30,- Ft/m3-t tudtunk költeni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bérleti díj terhére), mely összeg a 2018-as üzleti tervben már csak 12,- Ft előirányzatot biztosít.</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Ennek következménye, hogy a végletekig leromlott és elöregedett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rendszer tovább romlik, állapota a műszaki biztonság tekintetében rendkívül rossznak minősíthető. Folyamatosan egyre veszélyesebb a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szolgáltatás ellátása. Rohamosan növekszik a hálózati veszteség és az erre visszavezethető egyébként országosan is tapasztalható egyre gyakoribb csőtörések és üzemzavarok esete.</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Világosan látszik, hogy a </w:t>
      </w:r>
      <w:proofErr w:type="spellStart"/>
      <w:r w:rsidRPr="00AA5A91">
        <w:rPr>
          <w:rFonts w:ascii="Arial Narrow" w:hAnsi="Arial Narrow" w:cs="Calibri"/>
          <w:sz w:val="24"/>
          <w:szCs w:val="24"/>
          <w:lang w:eastAsia="zh-CN"/>
        </w:rPr>
        <w:t>HBVSz</w:t>
      </w:r>
      <w:proofErr w:type="spellEnd"/>
      <w:r w:rsidRPr="00AA5A91">
        <w:rPr>
          <w:rFonts w:ascii="Arial Narrow" w:hAnsi="Arial Narrow" w:cs="Calibri"/>
          <w:sz w:val="24"/>
          <w:szCs w:val="24"/>
          <w:lang w:eastAsia="zh-CN"/>
        </w:rPr>
        <w:t xml:space="preserve"> </w:t>
      </w:r>
      <w:proofErr w:type="spellStart"/>
      <w:r w:rsidRPr="00AA5A91">
        <w:rPr>
          <w:rFonts w:ascii="Arial Narrow" w:hAnsi="Arial Narrow" w:cs="Calibri"/>
          <w:sz w:val="24"/>
          <w:szCs w:val="24"/>
          <w:lang w:eastAsia="zh-CN"/>
        </w:rPr>
        <w:t>Zrt</w:t>
      </w:r>
      <w:proofErr w:type="spellEnd"/>
      <w:r w:rsidRPr="00AA5A91">
        <w:rPr>
          <w:rFonts w:ascii="Arial Narrow" w:hAnsi="Arial Narrow" w:cs="Calibri"/>
          <w:sz w:val="24"/>
          <w:szCs w:val="24"/>
          <w:lang w:eastAsia="zh-CN"/>
        </w:rPr>
        <w:t xml:space="preserve"> működése a jövőben a jogszabályi háttér megváltoztatása nélkül reménytelen és lehetetlen vállalkozás. Meggyőződésünk, hogy ez minden önkormányzati működtetésű </w:t>
      </w:r>
      <w:proofErr w:type="spellStart"/>
      <w:r w:rsidRPr="00AA5A91">
        <w:rPr>
          <w:rFonts w:ascii="Arial Narrow" w:hAnsi="Arial Narrow" w:cs="Calibri"/>
          <w:sz w:val="24"/>
          <w:szCs w:val="24"/>
          <w:lang w:eastAsia="zh-CN"/>
        </w:rPr>
        <w:t>vízkiközmű</w:t>
      </w:r>
      <w:proofErr w:type="spellEnd"/>
      <w:r w:rsidRPr="00AA5A91">
        <w:rPr>
          <w:rFonts w:ascii="Arial Narrow" w:hAnsi="Arial Narrow" w:cs="Calibri"/>
          <w:sz w:val="24"/>
          <w:szCs w:val="24"/>
          <w:lang w:eastAsia="zh-CN"/>
        </w:rPr>
        <w:t xml:space="preserve"> társaságra igaz. Ezért gazdasági társaságunkra és az összes önkormányzati működtetésű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gazdasági társaságra is vonatkoznia kell egy olyan állami támogatási rendszernek, amit a magyar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szolgáltatással foglalkozó állami vállalkozások kapnak. Információink szerint az állami vállalatok törzstőke és bértámogatás tekintetében is legalább 40% árkiegészítésben részesülnek, melyet az állam további pályázati rendszereken keresztüli eszközforrással még megnövel. Ilyen támogatási rendszer nélkül az önkormányzati működtetés gyakorlatilag teljesen ellehetetlenül, veszélyezteti a lakosság egészséges ivóvízzel való ellátását és a kommunális szennyvíz elvezetését és tisztítását.</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Az elmúlt időszakban a </w:t>
      </w:r>
      <w:proofErr w:type="spellStart"/>
      <w:r w:rsidRPr="00AA5A91">
        <w:rPr>
          <w:rFonts w:ascii="Arial Narrow" w:hAnsi="Arial Narrow" w:cs="Calibri"/>
          <w:sz w:val="24"/>
          <w:szCs w:val="24"/>
          <w:lang w:eastAsia="zh-CN"/>
        </w:rPr>
        <w:t>HBVSz</w:t>
      </w:r>
      <w:proofErr w:type="spellEnd"/>
      <w:r w:rsidRPr="00AA5A91">
        <w:rPr>
          <w:rFonts w:ascii="Arial Narrow" w:hAnsi="Arial Narrow" w:cs="Calibri"/>
          <w:sz w:val="24"/>
          <w:szCs w:val="24"/>
          <w:lang w:eastAsia="zh-CN"/>
        </w:rPr>
        <w:t xml:space="preserve"> </w:t>
      </w:r>
      <w:proofErr w:type="spellStart"/>
      <w:r w:rsidRPr="00AA5A91">
        <w:rPr>
          <w:rFonts w:ascii="Arial Narrow" w:hAnsi="Arial Narrow" w:cs="Calibri"/>
          <w:sz w:val="24"/>
          <w:szCs w:val="24"/>
          <w:lang w:eastAsia="zh-CN"/>
        </w:rPr>
        <w:t>Zrt</w:t>
      </w:r>
      <w:proofErr w:type="spellEnd"/>
      <w:r w:rsidRPr="00AA5A91">
        <w:rPr>
          <w:rFonts w:ascii="Arial Narrow" w:hAnsi="Arial Narrow" w:cs="Calibri"/>
          <w:sz w:val="24"/>
          <w:szCs w:val="24"/>
          <w:lang w:eastAsia="zh-CN"/>
        </w:rPr>
        <w:t xml:space="preserve"> működése a számtalan negatív befolyásoló tényezők ellenére is átlátható, rendkívül költségtakarékos és mind a lakosság, mind a társult önkormányzatok vonatkozásában elégedettséget váltott ki. A </w:t>
      </w:r>
      <w:proofErr w:type="spellStart"/>
      <w:r w:rsidRPr="00AA5A91">
        <w:rPr>
          <w:rFonts w:ascii="Arial Narrow" w:hAnsi="Arial Narrow" w:cs="Calibri"/>
          <w:sz w:val="24"/>
          <w:szCs w:val="24"/>
          <w:lang w:eastAsia="zh-CN"/>
        </w:rPr>
        <w:t>HBVSz</w:t>
      </w:r>
      <w:proofErr w:type="spellEnd"/>
      <w:r w:rsidRPr="00AA5A91">
        <w:rPr>
          <w:rFonts w:ascii="Arial Narrow" w:hAnsi="Arial Narrow" w:cs="Calibri"/>
          <w:sz w:val="24"/>
          <w:szCs w:val="24"/>
          <w:lang w:eastAsia="zh-CN"/>
        </w:rPr>
        <w:t xml:space="preserve"> </w:t>
      </w:r>
      <w:proofErr w:type="spellStart"/>
      <w:r w:rsidRPr="00AA5A91">
        <w:rPr>
          <w:rFonts w:ascii="Arial Narrow" w:hAnsi="Arial Narrow" w:cs="Calibri"/>
          <w:sz w:val="24"/>
          <w:szCs w:val="24"/>
          <w:lang w:eastAsia="zh-CN"/>
        </w:rPr>
        <w:t>Zrt</w:t>
      </w:r>
      <w:proofErr w:type="spellEnd"/>
      <w:r w:rsidRPr="00AA5A91">
        <w:rPr>
          <w:rFonts w:ascii="Arial Narrow" w:hAnsi="Arial Narrow" w:cs="Calibri"/>
          <w:sz w:val="24"/>
          <w:szCs w:val="24"/>
          <w:lang w:eastAsia="zh-CN"/>
        </w:rPr>
        <w:t xml:space="preserve"> jelenleg hitel- és köztartozás </w:t>
      </w:r>
      <w:proofErr w:type="gramStart"/>
      <w:r w:rsidRPr="00AA5A91">
        <w:rPr>
          <w:rFonts w:ascii="Arial Narrow" w:hAnsi="Arial Narrow" w:cs="Calibri"/>
          <w:sz w:val="24"/>
          <w:szCs w:val="24"/>
          <w:lang w:eastAsia="zh-CN"/>
        </w:rPr>
        <w:t>mentes</w:t>
      </w:r>
      <w:proofErr w:type="gramEnd"/>
      <w:r w:rsidRPr="00AA5A91">
        <w:rPr>
          <w:rFonts w:ascii="Arial Narrow" w:hAnsi="Arial Narrow" w:cs="Calibri"/>
          <w:sz w:val="24"/>
          <w:szCs w:val="24"/>
          <w:lang w:eastAsia="zh-CN"/>
        </w:rPr>
        <w:t>, számláit általában 8 napra, energia számláit 30 napra fizeti ki átutalási határidőn belül. Ahhoz, hogy a továbbiak folyamán rentábilisan működni tudjunk, az önkormányzati feladatellátás biztonságos legyen, az ellátás színvonala ne csökkenjen, az alábbiakra van szükség:</w:t>
      </w:r>
    </w:p>
    <w:p w:rsidR="004E7E1C" w:rsidRPr="00AA5A91" w:rsidRDefault="004E7E1C" w:rsidP="004E7E1C">
      <w:pPr>
        <w:numPr>
          <w:ilvl w:val="0"/>
          <w:numId w:val="1"/>
        </w:num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azonos elbírálás és támogatottság a magyar állami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vállalatokkal megegyező mértékben (elfogadhatónak tartanánk egy országosan alkalmazható önköltség szabályzat kidolgozását a települési adottságok figyelembe vételével)</w:t>
      </w:r>
    </w:p>
    <w:p w:rsidR="004E7E1C" w:rsidRPr="00AA5A91" w:rsidRDefault="004E7E1C" w:rsidP="004E7E1C">
      <w:pPr>
        <w:numPr>
          <w:ilvl w:val="0"/>
          <w:numId w:val="1"/>
        </w:num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szükséges a közműadó megszüntetése, illetve a közműadó mértékének megfelelő azonnali rendszerfüggő elemekre vonatkozó beruházás</w:t>
      </w:r>
    </w:p>
    <w:p w:rsidR="004E7E1C" w:rsidRPr="00AA5A91" w:rsidRDefault="004E7E1C" w:rsidP="004E7E1C">
      <w:pPr>
        <w:numPr>
          <w:ilvl w:val="0"/>
          <w:numId w:val="1"/>
        </w:num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 felügyeleti </w:t>
      </w:r>
      <w:proofErr w:type="gramStart"/>
      <w:r w:rsidRPr="00AA5A91">
        <w:rPr>
          <w:rFonts w:ascii="Arial Narrow" w:hAnsi="Arial Narrow" w:cs="Calibri"/>
          <w:sz w:val="24"/>
          <w:szCs w:val="24"/>
          <w:lang w:eastAsia="zh-CN"/>
        </w:rPr>
        <w:t>díj jelentős</w:t>
      </w:r>
      <w:proofErr w:type="gramEnd"/>
      <w:r w:rsidRPr="00AA5A91">
        <w:rPr>
          <w:rFonts w:ascii="Arial Narrow" w:hAnsi="Arial Narrow" w:cs="Calibri"/>
          <w:sz w:val="24"/>
          <w:szCs w:val="24"/>
          <w:lang w:eastAsia="zh-CN"/>
        </w:rPr>
        <w:t xml:space="preserve"> mértékű valós költségekre vonatkoztatott megállapítása</w:t>
      </w:r>
    </w:p>
    <w:p w:rsidR="004E7E1C" w:rsidRPr="00AA5A91" w:rsidRDefault="004E7E1C" w:rsidP="004E7E1C">
      <w:pPr>
        <w:numPr>
          <w:ilvl w:val="0"/>
          <w:numId w:val="1"/>
        </w:num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a rezsicsökkentés újragondolása, illetve ha erre továbbiakban sincs politikai szándék, akkor az ÁFA </w:t>
      </w:r>
      <w:proofErr w:type="gramStart"/>
      <w:r w:rsidRPr="00AA5A91">
        <w:rPr>
          <w:rFonts w:ascii="Arial Narrow" w:hAnsi="Arial Narrow" w:cs="Calibri"/>
          <w:sz w:val="24"/>
          <w:szCs w:val="24"/>
          <w:lang w:eastAsia="zh-CN"/>
        </w:rPr>
        <w:t>tartalom jelentős</w:t>
      </w:r>
      <w:proofErr w:type="gramEnd"/>
      <w:r w:rsidRPr="00AA5A91">
        <w:rPr>
          <w:rFonts w:ascii="Arial Narrow" w:hAnsi="Arial Narrow" w:cs="Calibri"/>
          <w:sz w:val="24"/>
          <w:szCs w:val="24"/>
          <w:lang w:eastAsia="zh-CN"/>
        </w:rPr>
        <w:t xml:space="preserve"> mértékű csökkentése, a lakosság által fizetendő bruttó díjak változatlanul hagyása mellett</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Amennyiben a törvényalkotó szándéka a fentiekben nem változik, úgy a vállalkozás folytatása ellehetetlenül.</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Levelünk mellékleteként elektronikus formában csatoljuk az Alföldvíz </w:t>
      </w:r>
      <w:proofErr w:type="spellStart"/>
      <w:r w:rsidRPr="00AA5A91">
        <w:rPr>
          <w:rFonts w:ascii="Arial Narrow" w:hAnsi="Arial Narrow" w:cs="Calibri"/>
          <w:sz w:val="24"/>
          <w:szCs w:val="24"/>
          <w:lang w:eastAsia="zh-CN"/>
        </w:rPr>
        <w:t>Zrt</w:t>
      </w:r>
      <w:proofErr w:type="spellEnd"/>
      <w:r w:rsidRPr="00AA5A91">
        <w:rPr>
          <w:rFonts w:ascii="Arial Narrow" w:hAnsi="Arial Narrow" w:cs="Calibri"/>
          <w:sz w:val="24"/>
          <w:szCs w:val="24"/>
          <w:lang w:eastAsia="zh-CN"/>
        </w:rPr>
        <w:t xml:space="preserve"> szakszervezetének nyílt levelét Dr. Orbán Viktor miniszterelnök úr részére, a Magyar </w:t>
      </w:r>
      <w:proofErr w:type="spellStart"/>
      <w:r w:rsidRPr="00AA5A91">
        <w:rPr>
          <w:rFonts w:ascii="Arial Narrow" w:hAnsi="Arial Narrow" w:cs="Calibri"/>
          <w:sz w:val="24"/>
          <w:szCs w:val="24"/>
          <w:lang w:eastAsia="zh-CN"/>
        </w:rPr>
        <w:t>Víziközmű</w:t>
      </w:r>
      <w:proofErr w:type="spellEnd"/>
      <w:r w:rsidRPr="00AA5A91">
        <w:rPr>
          <w:rFonts w:ascii="Arial Narrow" w:hAnsi="Arial Narrow" w:cs="Calibri"/>
          <w:sz w:val="24"/>
          <w:szCs w:val="24"/>
          <w:lang w:eastAsia="zh-CN"/>
        </w:rPr>
        <w:t xml:space="preserve"> Szövetség (MAVÍZ) átfogó ágazati tanulmányát valamint a Századvég intézkedési tervét.</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 xml:space="preserve">Kérjük Országgyűlési Képviselő Urat, hogy levelünk és annak mellékletei áttanulmányozása után képviselje a térség önkormányzatainak legfontosabb gazdasági társaságának érdekeit és fennmaradását. </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A fentiekkel kapcsolatban a közeljövőben a tulajdonosokkal együtt egyeztető problémafeltáró értekezletet kívánunk összehívni, melyre Önt tisztelettel meghívjuk.</w:t>
      </w: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Hajdúböszörmény, 2018. június 26.</w:t>
      </w: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suppressAutoHyphens/>
        <w:spacing w:after="120"/>
        <w:jc w:val="both"/>
        <w:rPr>
          <w:rFonts w:ascii="Arial Narrow" w:hAnsi="Arial Narrow" w:cs="Calibri"/>
          <w:sz w:val="24"/>
          <w:szCs w:val="24"/>
          <w:lang w:eastAsia="zh-CN"/>
        </w:rPr>
      </w:pPr>
      <w:r w:rsidRPr="00AA5A91">
        <w:rPr>
          <w:rFonts w:ascii="Arial Narrow" w:hAnsi="Arial Narrow" w:cs="Calibri"/>
          <w:sz w:val="24"/>
          <w:szCs w:val="24"/>
          <w:lang w:eastAsia="zh-CN"/>
        </w:rPr>
        <w:t>Tisztelettel:</w:t>
      </w:r>
    </w:p>
    <w:p w:rsidR="004E7E1C" w:rsidRPr="00AA5A91" w:rsidRDefault="004E7E1C" w:rsidP="004E7E1C">
      <w:pPr>
        <w:suppressAutoHyphens/>
        <w:spacing w:after="120"/>
        <w:jc w:val="both"/>
        <w:rPr>
          <w:rFonts w:ascii="Arial Narrow" w:hAnsi="Arial Narrow" w:cs="Calibri"/>
          <w:sz w:val="24"/>
          <w:szCs w:val="24"/>
          <w:lang w:eastAsia="zh-CN"/>
        </w:rPr>
      </w:pPr>
    </w:p>
    <w:p w:rsidR="004E7E1C" w:rsidRPr="00AA5A91" w:rsidRDefault="004E7E1C" w:rsidP="004E7E1C">
      <w:pPr>
        <w:tabs>
          <w:tab w:val="center" w:pos="1701"/>
          <w:tab w:val="center" w:pos="4536"/>
          <w:tab w:val="center" w:pos="7938"/>
        </w:tabs>
        <w:suppressAutoHyphens/>
        <w:jc w:val="both"/>
        <w:rPr>
          <w:rFonts w:ascii="Arial Narrow" w:hAnsi="Arial Narrow" w:cs="Calibri"/>
          <w:sz w:val="24"/>
          <w:szCs w:val="24"/>
          <w:lang w:eastAsia="zh-CN"/>
        </w:rPr>
      </w:pPr>
      <w:r w:rsidRPr="00AA5A91">
        <w:rPr>
          <w:rFonts w:ascii="Arial Narrow" w:hAnsi="Arial Narrow" w:cs="Calibri"/>
          <w:sz w:val="24"/>
          <w:szCs w:val="24"/>
          <w:lang w:eastAsia="zh-CN"/>
        </w:rPr>
        <w:tab/>
      </w:r>
      <w:proofErr w:type="spellStart"/>
      <w:r w:rsidRPr="00AA5A91">
        <w:rPr>
          <w:rFonts w:ascii="Arial Narrow" w:hAnsi="Arial Narrow" w:cs="Calibri"/>
          <w:sz w:val="24"/>
          <w:szCs w:val="24"/>
          <w:lang w:eastAsia="zh-CN"/>
        </w:rPr>
        <w:t>Will</w:t>
      </w:r>
      <w:proofErr w:type="spellEnd"/>
      <w:r w:rsidRPr="00AA5A91">
        <w:rPr>
          <w:rFonts w:ascii="Arial Narrow" w:hAnsi="Arial Narrow" w:cs="Calibri"/>
          <w:sz w:val="24"/>
          <w:szCs w:val="24"/>
          <w:lang w:eastAsia="zh-CN"/>
        </w:rPr>
        <w:t xml:space="preserve"> Csaba</w:t>
      </w:r>
      <w:r w:rsidRPr="00AA5A91">
        <w:rPr>
          <w:rFonts w:ascii="Arial Narrow" w:hAnsi="Arial Narrow" w:cs="Calibri"/>
          <w:sz w:val="24"/>
          <w:szCs w:val="24"/>
          <w:lang w:eastAsia="zh-CN"/>
        </w:rPr>
        <w:tab/>
        <w:t>Bondár Sándor</w:t>
      </w:r>
      <w:r w:rsidRPr="00AA5A91">
        <w:rPr>
          <w:rFonts w:ascii="Arial Narrow" w:hAnsi="Arial Narrow" w:cs="Calibri"/>
          <w:sz w:val="24"/>
          <w:szCs w:val="24"/>
          <w:lang w:eastAsia="zh-CN"/>
        </w:rPr>
        <w:tab/>
        <w:t>Lőrincz László</w:t>
      </w:r>
    </w:p>
    <w:p w:rsidR="004E7E1C" w:rsidRPr="00AA5A91" w:rsidRDefault="004E7E1C" w:rsidP="004E7E1C">
      <w:pPr>
        <w:tabs>
          <w:tab w:val="center" w:pos="1701"/>
          <w:tab w:val="center" w:pos="4536"/>
          <w:tab w:val="center" w:pos="7938"/>
        </w:tabs>
        <w:suppressAutoHyphens/>
        <w:jc w:val="both"/>
        <w:rPr>
          <w:rFonts w:ascii="Arial Narrow" w:hAnsi="Arial Narrow" w:cs="Calibri"/>
          <w:sz w:val="24"/>
          <w:szCs w:val="24"/>
          <w:lang w:eastAsia="zh-CN"/>
        </w:rPr>
      </w:pPr>
      <w:r w:rsidRPr="00AA5A91">
        <w:rPr>
          <w:rFonts w:ascii="Arial Narrow" w:hAnsi="Arial Narrow" w:cs="Calibri"/>
          <w:sz w:val="24"/>
          <w:szCs w:val="24"/>
          <w:lang w:eastAsia="zh-CN"/>
        </w:rPr>
        <w:tab/>
      </w:r>
      <w:proofErr w:type="gramStart"/>
      <w:r w:rsidRPr="00AA5A91">
        <w:rPr>
          <w:rFonts w:ascii="Arial Narrow" w:hAnsi="Arial Narrow" w:cs="Calibri"/>
          <w:sz w:val="24"/>
          <w:szCs w:val="24"/>
          <w:lang w:eastAsia="zh-CN"/>
        </w:rPr>
        <w:t>igazgatóság</w:t>
      </w:r>
      <w:proofErr w:type="gramEnd"/>
      <w:r w:rsidRPr="00AA5A91">
        <w:rPr>
          <w:rFonts w:ascii="Arial Narrow" w:hAnsi="Arial Narrow" w:cs="Calibri"/>
          <w:sz w:val="24"/>
          <w:szCs w:val="24"/>
          <w:lang w:eastAsia="zh-CN"/>
        </w:rPr>
        <w:t xml:space="preserve"> elnöke</w:t>
      </w:r>
      <w:r w:rsidRPr="00AA5A91">
        <w:rPr>
          <w:rFonts w:ascii="Arial Narrow" w:hAnsi="Arial Narrow" w:cs="Calibri"/>
          <w:sz w:val="24"/>
          <w:szCs w:val="24"/>
          <w:lang w:eastAsia="zh-CN"/>
        </w:rPr>
        <w:tab/>
        <w:t>igazgatósági tag</w:t>
      </w:r>
      <w:r w:rsidRPr="00AA5A91">
        <w:rPr>
          <w:rFonts w:ascii="Arial Narrow" w:hAnsi="Arial Narrow" w:cs="Calibri"/>
          <w:sz w:val="24"/>
          <w:szCs w:val="24"/>
          <w:lang w:eastAsia="zh-CN"/>
        </w:rPr>
        <w:tab/>
        <w:t>igazgatósági tag</w:t>
      </w:r>
    </w:p>
    <w:p w:rsidR="004E7E1C" w:rsidRDefault="004E7E1C" w:rsidP="004E7E1C">
      <w:pPr>
        <w:rPr>
          <w:rFonts w:ascii="Arial Narrow" w:hAnsi="Arial Narrow" w:cs="Arial Narrow"/>
          <w:color w:val="1F497D"/>
          <w:sz w:val="24"/>
          <w:szCs w:val="24"/>
          <w:lang w:eastAsia="zh-CN"/>
        </w:rPr>
      </w:pPr>
      <w:r>
        <w:rPr>
          <w:rFonts w:ascii="Arial Narrow" w:hAnsi="Arial Narrow" w:cs="Arial Narrow"/>
          <w:color w:val="1F497D"/>
          <w:sz w:val="24"/>
          <w:szCs w:val="24"/>
          <w:lang w:eastAsia="zh-CN"/>
        </w:rPr>
        <w:br w:type="page"/>
      </w:r>
    </w:p>
    <w:p w:rsidR="004E7E1C" w:rsidRDefault="004E7E1C"/>
    <w:sectPr w:rsidR="004E7E1C" w:rsidSect="00F75848">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848" w:rsidRDefault="00F75848" w:rsidP="00F75848">
      <w:pPr>
        <w:spacing w:after="0" w:line="240" w:lineRule="auto"/>
      </w:pPr>
      <w:r>
        <w:separator/>
      </w:r>
    </w:p>
  </w:endnote>
  <w:endnote w:type="continuationSeparator" w:id="0">
    <w:p w:rsidR="00F75848" w:rsidRDefault="00F75848" w:rsidP="00F758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5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E1" w:rsidRDefault="004E7E1C">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9454049"/>
      <w:docPartObj>
        <w:docPartGallery w:val="Page Numbers (Bottom of Page)"/>
        <w:docPartUnique/>
      </w:docPartObj>
    </w:sdtPr>
    <w:sdtContent>
      <w:p w:rsidR="003B6DE1" w:rsidRDefault="004E7E1C">
        <w:pPr>
          <w:pStyle w:val="llb"/>
          <w:jc w:val="center"/>
        </w:pPr>
      </w:p>
      <w:p w:rsidR="003B6DE1" w:rsidRDefault="00F75848">
        <w:pPr>
          <w:pStyle w:val="llb"/>
          <w:jc w:val="center"/>
        </w:pPr>
        <w:r>
          <w:fldChar w:fldCharType="begin"/>
        </w:r>
        <w:r w:rsidR="00273483">
          <w:instrText>PAGE   \* MERGEFORMAT</w:instrText>
        </w:r>
        <w:r>
          <w:fldChar w:fldCharType="separate"/>
        </w:r>
        <w:r w:rsidR="004E7E1C">
          <w:rPr>
            <w:noProof/>
          </w:rPr>
          <w:t>2</w:t>
        </w:r>
        <w:r>
          <w:fldChar w:fldCharType="end"/>
        </w:r>
      </w:p>
    </w:sdtContent>
  </w:sdt>
  <w:p w:rsidR="003B6DE1" w:rsidRDefault="004E7E1C">
    <w:pPr>
      <w:pStyle w:val="ll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E1" w:rsidRDefault="004E7E1C">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848" w:rsidRDefault="00F75848" w:rsidP="00F75848">
      <w:pPr>
        <w:spacing w:after="0" w:line="240" w:lineRule="auto"/>
      </w:pPr>
      <w:r>
        <w:separator/>
      </w:r>
    </w:p>
  </w:footnote>
  <w:footnote w:type="continuationSeparator" w:id="0">
    <w:p w:rsidR="00F75848" w:rsidRDefault="00F75848" w:rsidP="00F758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E1" w:rsidRDefault="004E7E1C">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E1" w:rsidRDefault="004E7E1C">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6DE1" w:rsidRDefault="004E7E1C">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324FB2"/>
    <w:multiLevelType w:val="hybridMultilevel"/>
    <w:tmpl w:val="D0840E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73483"/>
    <w:rsid w:val="00273483"/>
    <w:rsid w:val="00385710"/>
    <w:rsid w:val="004E7E1C"/>
    <w:rsid w:val="00F75848"/>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75848"/>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3483"/>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273483"/>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73483"/>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273483"/>
    <w:rPr>
      <w:rFonts w:ascii="Times New Roman" w:eastAsia="Times New Roman" w:hAnsi="Times New Roman" w:cs="Times New Roman"/>
      <w:sz w:val="20"/>
      <w:szCs w:val="20"/>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73483"/>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fejChar">
    <w:name w:val="Élőfej Char"/>
    <w:basedOn w:val="Bekezdsalapbettpusa"/>
    <w:link w:val="lfej"/>
    <w:uiPriority w:val="99"/>
    <w:rsid w:val="00273483"/>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273483"/>
    <w:pPr>
      <w:tabs>
        <w:tab w:val="center" w:pos="4536"/>
        <w:tab w:val="right" w:pos="9072"/>
      </w:tabs>
      <w:spacing w:after="0" w:line="240" w:lineRule="auto"/>
    </w:pPr>
    <w:rPr>
      <w:rFonts w:ascii="Times New Roman" w:eastAsia="Times New Roman" w:hAnsi="Times New Roman" w:cs="Times New Roman"/>
      <w:sz w:val="20"/>
      <w:szCs w:val="20"/>
      <w:lang w:eastAsia="hu-HU"/>
    </w:rPr>
  </w:style>
  <w:style w:type="character" w:customStyle="1" w:styleId="llbChar">
    <w:name w:val="Élőláb Char"/>
    <w:basedOn w:val="Bekezdsalapbettpusa"/>
    <w:link w:val="llb"/>
    <w:uiPriority w:val="99"/>
    <w:rsid w:val="00273483"/>
    <w:rPr>
      <w:rFonts w:ascii="Times New Roman" w:eastAsia="Times New Roman" w:hAnsi="Times New Roman" w:cs="Times New Roman"/>
      <w:sz w:val="20"/>
      <w:szCs w:val="20"/>
      <w:lang w:eastAsia="hu-H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tkarsag@hbvsz.h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1654</Words>
  <Characters>11419</Characters>
  <Application>Microsoft Office Word</Application>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user</cp:lastModifiedBy>
  <cp:revision>2</cp:revision>
  <dcterms:created xsi:type="dcterms:W3CDTF">2018-06-29T06:38:00Z</dcterms:created>
  <dcterms:modified xsi:type="dcterms:W3CDTF">2018-07-06T08:00:00Z</dcterms:modified>
</cp:coreProperties>
</file>