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F9" w:rsidRPr="00873087" w:rsidRDefault="0098267D" w:rsidP="002B75F9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 xml:space="preserve">Okirat száma: TPH/1897-      </w:t>
      </w:r>
      <w:r w:rsidR="002B75F9">
        <w:rPr>
          <w:rFonts w:asciiTheme="majorHAnsi" w:eastAsia="Calibri" w:hAnsiTheme="majorHAnsi" w:cs="Times New Roman"/>
          <w:lang w:eastAsia="hu-HU"/>
        </w:rPr>
        <w:t>/2022</w:t>
      </w:r>
      <w:r w:rsidR="002B75F9" w:rsidRPr="00873087">
        <w:rPr>
          <w:rFonts w:asciiTheme="majorHAnsi" w:eastAsia="Calibri" w:hAnsiTheme="majorHAnsi" w:cs="Times New Roman"/>
          <w:lang w:eastAsia="hu-HU"/>
        </w:rPr>
        <w:t>.</w:t>
      </w:r>
    </w:p>
    <w:p w:rsidR="002B75F9" w:rsidRPr="00873087" w:rsidRDefault="002B75F9" w:rsidP="002B75F9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2B75F9" w:rsidRPr="00873087" w:rsidRDefault="002B75F9" w:rsidP="002B75F9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873087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2B75F9" w:rsidRPr="00873087" w:rsidRDefault="002B75F9" w:rsidP="002B75F9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2B75F9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Étkeztetés, </w:t>
            </w:r>
            <w:r w:rsidRPr="00873087">
              <w:rPr>
                <w:rFonts w:asciiTheme="majorHAnsi" w:hAnsiTheme="majorHAnsi"/>
                <w:lang w:eastAsia="hu-HU"/>
              </w:rPr>
              <w:t>idősek nappali ellátása, család- és gyermekjóléti szolgálat</w:t>
            </w:r>
            <w:r>
              <w:rPr>
                <w:rFonts w:asciiTheme="majorHAnsi" w:hAnsiTheme="majorHAnsi"/>
                <w:lang w:eastAsia="hu-HU"/>
              </w:rPr>
              <w:t>, c</w:t>
            </w:r>
            <w:r w:rsidRPr="009F5B6E">
              <w:rPr>
                <w:rFonts w:asciiTheme="majorHAnsi" w:hAnsiTheme="majorHAnsi"/>
                <w:lang w:eastAsia="hu-HU"/>
              </w:rPr>
              <w:t>salád- és gyermekjóléti központ</w:t>
            </w:r>
            <w:r w:rsidR="00704829">
              <w:rPr>
                <w:rFonts w:asciiTheme="majorHAnsi" w:hAnsiTheme="majorHAnsi"/>
                <w:lang w:eastAsia="hu-HU"/>
              </w:rPr>
              <w:t>,</w:t>
            </w:r>
          </w:p>
          <w:p w:rsidR="00704829" w:rsidRPr="00873087" w:rsidRDefault="0070482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704829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2B75F9" w:rsidRPr="00873087" w:rsidRDefault="002B75F9" w:rsidP="0098267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</w:t>
            </w:r>
            <w:proofErr w:type="gramStart"/>
            <w:r w:rsidRPr="00873087">
              <w:rPr>
                <w:rFonts w:asciiTheme="majorHAnsi" w:hAnsiTheme="majorHAnsi"/>
                <w:lang w:eastAsia="hu-HU"/>
              </w:rPr>
              <w:t xml:space="preserve">, </w:t>
            </w:r>
            <w:r w:rsidR="0098267D">
              <w:rPr>
                <w:rFonts w:asciiTheme="majorHAnsi" w:hAnsiTheme="majorHAnsi"/>
                <w:lang w:eastAsia="hu-HU"/>
              </w:rPr>
              <w:t xml:space="preserve"> </w:t>
            </w:r>
            <w:proofErr w:type="spellStart"/>
            <w:r w:rsidR="0098267D">
              <w:rPr>
                <w:rFonts w:asciiTheme="majorHAnsi" w:hAnsiTheme="majorHAnsi"/>
                <w:lang w:eastAsia="hu-HU"/>
              </w:rPr>
              <w:t>Kabay</w:t>
            </w:r>
            <w:proofErr w:type="spellEnd"/>
            <w:proofErr w:type="gramEnd"/>
            <w:r w:rsidR="0098267D">
              <w:rPr>
                <w:rFonts w:asciiTheme="majorHAnsi" w:hAnsiTheme="majorHAnsi"/>
                <w:lang w:eastAsia="hu-HU"/>
              </w:rPr>
              <w:t xml:space="preserve"> János u. 23.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70482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H</w:t>
            </w:r>
            <w:r w:rsidRPr="009F5B6E">
              <w:rPr>
                <w:rFonts w:asciiTheme="majorHAnsi" w:hAnsiTheme="majorHAnsi"/>
                <w:lang w:eastAsia="hu-HU"/>
              </w:rPr>
              <w:t>ázi segítségnyújtás, jelző</w:t>
            </w:r>
            <w:r>
              <w:rPr>
                <w:rFonts w:asciiTheme="majorHAnsi" w:hAnsiTheme="majorHAnsi"/>
                <w:lang w:eastAsia="hu-HU"/>
              </w:rPr>
              <w:t>rendszeres házi segítségnyújtás</w:t>
            </w:r>
          </w:p>
        </w:tc>
        <w:tc>
          <w:tcPr>
            <w:tcW w:w="2270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6.</w:t>
            </w:r>
          </w:p>
        </w:tc>
      </w:tr>
    </w:tbl>
    <w:p w:rsidR="002B75F9" w:rsidRPr="00873087" w:rsidRDefault="002B75F9" w:rsidP="002B75F9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2B75F9" w:rsidRDefault="002B75F9" w:rsidP="002B75F9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2B75F9" w:rsidRDefault="002B75F9" w:rsidP="002B75F9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04829" w:rsidRDefault="00704829" w:rsidP="002B75F9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704829" w:rsidRDefault="00704829" w:rsidP="002B75F9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bookmarkStart w:id="0" w:name="_GoBack"/>
      <w:bookmarkEnd w:id="0"/>
    </w:p>
    <w:p w:rsidR="002B75F9" w:rsidRPr="00873087" w:rsidRDefault="002B75F9" w:rsidP="002B75F9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2B75F9" w:rsidRPr="00873087" w:rsidRDefault="002B75F9" w:rsidP="002B75F9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2B75F9" w:rsidRPr="00873087" w:rsidRDefault="002B75F9" w:rsidP="002B75F9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2B75F9" w:rsidRPr="00873087" w:rsidRDefault="002B75F9" w:rsidP="002B75F9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Idősek, fogyatékosok bentlakásos ellátása</w:t>
            </w:r>
          </w:p>
        </w:tc>
      </w:tr>
    </w:tbl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2B75F9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4.3.1.4 Támogató szolgáltatás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4.3.1.5 Nappali ellátás – Idősek klubja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2B75F9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2B75F9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2B75F9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2B75F9" w:rsidRPr="00873087" w:rsidRDefault="002B75F9" w:rsidP="002B75F9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2B75F9" w:rsidRPr="00817160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2B75F9" w:rsidRPr="00817160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2B75F9" w:rsidRPr="00817160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2B75F9" w:rsidRPr="00817160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8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2B75F9" w:rsidRPr="00873087" w:rsidTr="009F549D">
        <w:tblPrEx>
          <w:jc w:val="left"/>
        </w:tblPrEx>
        <w:tc>
          <w:tcPr>
            <w:tcW w:w="363" w:type="pct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2B75F9" w:rsidRPr="005212AE" w:rsidTr="009F549D">
        <w:tblPrEx>
          <w:jc w:val="left"/>
        </w:tblPrEx>
        <w:tc>
          <w:tcPr>
            <w:tcW w:w="363" w:type="pct"/>
          </w:tcPr>
          <w:p w:rsidR="002B75F9" w:rsidRPr="005212AE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2B75F9" w:rsidRPr="005212AE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2B75F9" w:rsidRPr="005212AE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Tiszaújváros-, Tiszalök városok, és Szorgalmatos-, Tiszadada-, Tiszadob községek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 xml:space="preserve">idősek -, </w:t>
            </w:r>
            <w:proofErr w:type="spellStart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demensek</w:t>
            </w:r>
            <w:proofErr w:type="spellEnd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, fogyatékkal élő személyek bentlakásos ellátása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2B75F9" w:rsidRPr="00873087" w:rsidRDefault="002B75F9" w:rsidP="009F549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  <w:tr w:rsidR="002B75F9" w:rsidRPr="00873087" w:rsidTr="009F549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Default="002B75F9" w:rsidP="009F549D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2B75F9" w:rsidRPr="00954FF6" w:rsidRDefault="002B75F9" w:rsidP="009F549D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>tanyagondnoki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9" w:rsidRDefault="002B75F9" w:rsidP="009F549D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2B75F9" w:rsidRPr="00954FF6" w:rsidRDefault="002B75F9" w:rsidP="009F549D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Tiszavasvári -, </w:t>
            </w:r>
            <w:proofErr w:type="spellStart"/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>Józsefháza</w:t>
            </w:r>
            <w:proofErr w:type="spellEnd"/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településrész közigazgatási területe</w:t>
            </w:r>
          </w:p>
        </w:tc>
      </w:tr>
    </w:tbl>
    <w:p w:rsidR="002B75F9" w:rsidRDefault="002B75F9" w:rsidP="002B75F9">
      <w:pPr>
        <w:tabs>
          <w:tab w:val="left" w:leader="dot" w:pos="9072"/>
        </w:tabs>
        <w:spacing w:before="720" w:after="480" w:line="240" w:lineRule="auto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2B75F9" w:rsidRPr="00873087" w:rsidRDefault="002B75F9" w:rsidP="002B75F9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2B75F9" w:rsidRPr="000D58AF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vezetőjének megbízási rendje: A vezetőt nyilvános pályázat alapján Tiszavasvári Város Önkormányzata Képviselő-testülete bízza meg 5 év határozott időre, és </w:t>
      </w: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2B75F9" w:rsidRPr="00873087" w:rsidRDefault="002B75F9" w:rsidP="002B75F9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  <w:tr w:rsidR="002B75F9" w:rsidRPr="00873087" w:rsidTr="009F549D">
        <w:trPr>
          <w:jc w:val="center"/>
        </w:trPr>
        <w:tc>
          <w:tcPr>
            <w:tcW w:w="36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2B75F9" w:rsidRPr="00873087" w:rsidRDefault="002B75F9" w:rsidP="009F549D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</w:tbl>
    <w:p w:rsidR="002B75F9" w:rsidRPr="00873087" w:rsidRDefault="002B75F9" w:rsidP="002B75F9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2B75F9" w:rsidRDefault="002B75F9" w:rsidP="002B75F9"/>
    <w:p w:rsidR="002B75F9" w:rsidRDefault="002B75F9" w:rsidP="002B75F9"/>
    <w:p w:rsidR="002B75F9" w:rsidRDefault="002B75F9" w:rsidP="002B75F9"/>
    <w:p w:rsidR="002B75F9" w:rsidRDefault="002B75F9" w:rsidP="002B75F9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2B75F9" w:rsidRDefault="002B75F9" w:rsidP="002B75F9"/>
    <w:p w:rsidR="002B75F9" w:rsidRDefault="002B75F9" w:rsidP="002B75F9"/>
    <w:p w:rsidR="002B75F9" w:rsidRDefault="002B75F9" w:rsidP="002B75F9"/>
    <w:p w:rsidR="00C5645E" w:rsidRDefault="00C5645E"/>
    <w:sectPr w:rsidR="00C5645E" w:rsidSect="004F0B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F9"/>
    <w:rsid w:val="002B75F9"/>
    <w:rsid w:val="004B1524"/>
    <w:rsid w:val="00704829"/>
    <w:rsid w:val="0098267D"/>
    <w:rsid w:val="00A03339"/>
    <w:rsid w:val="00C5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75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75F9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2B75F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B7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0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3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75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75F9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2B75F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B7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0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3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1212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Badics Dorina Vanessza</cp:lastModifiedBy>
  <cp:revision>3</cp:revision>
  <cp:lastPrinted>2022-03-01T08:08:00Z</cp:lastPrinted>
  <dcterms:created xsi:type="dcterms:W3CDTF">2022-09-22T09:26:00Z</dcterms:created>
  <dcterms:modified xsi:type="dcterms:W3CDTF">2022-09-23T07:59:00Z</dcterms:modified>
</cp:coreProperties>
</file>