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17A" w:rsidRPr="00610370" w:rsidRDefault="0081617A" w:rsidP="0081617A">
      <w:pPr>
        <w:jc w:val="center"/>
        <w:rPr>
          <w:b/>
          <w:smallCaps/>
          <w:sz w:val="24"/>
          <w:szCs w:val="24"/>
        </w:rPr>
      </w:pPr>
      <w:r w:rsidRPr="00610370">
        <w:rPr>
          <w:b/>
          <w:smallCaps/>
          <w:sz w:val="24"/>
          <w:szCs w:val="24"/>
        </w:rPr>
        <w:t>Tiszavasvári Város Önkormányzata</w:t>
      </w:r>
    </w:p>
    <w:p w:rsidR="0081617A" w:rsidRPr="00610370" w:rsidRDefault="0081617A" w:rsidP="0081617A">
      <w:pPr>
        <w:jc w:val="center"/>
        <w:rPr>
          <w:b/>
          <w:smallCaps/>
          <w:sz w:val="24"/>
          <w:szCs w:val="24"/>
        </w:rPr>
      </w:pPr>
      <w:r w:rsidRPr="00610370">
        <w:rPr>
          <w:b/>
          <w:smallCaps/>
          <w:sz w:val="24"/>
          <w:szCs w:val="24"/>
        </w:rPr>
        <w:t>Képviselő-testületének</w:t>
      </w:r>
    </w:p>
    <w:p w:rsidR="0081617A" w:rsidRPr="00610370" w:rsidRDefault="0081617A" w:rsidP="0081617A">
      <w:pPr>
        <w:jc w:val="center"/>
        <w:rPr>
          <w:b/>
          <w:sz w:val="24"/>
          <w:szCs w:val="24"/>
        </w:rPr>
      </w:pPr>
      <w:r w:rsidRPr="00610370">
        <w:rPr>
          <w:b/>
          <w:sz w:val="24"/>
          <w:szCs w:val="24"/>
        </w:rPr>
        <w:t>…….</w:t>
      </w:r>
      <w:r w:rsidRPr="00610370">
        <w:rPr>
          <w:b/>
          <w:sz w:val="24"/>
          <w:szCs w:val="24"/>
        </w:rPr>
        <w:t>/2018.(</w:t>
      </w:r>
      <w:r w:rsidRPr="00610370">
        <w:rPr>
          <w:b/>
          <w:sz w:val="24"/>
          <w:szCs w:val="24"/>
        </w:rPr>
        <w:t>XI.22</w:t>
      </w:r>
      <w:r w:rsidRPr="00610370">
        <w:rPr>
          <w:b/>
          <w:sz w:val="24"/>
          <w:szCs w:val="24"/>
        </w:rPr>
        <w:t>.) Kt. számú</w:t>
      </w:r>
    </w:p>
    <w:p w:rsidR="0081617A" w:rsidRPr="00610370" w:rsidRDefault="0081617A" w:rsidP="0081617A">
      <w:pPr>
        <w:jc w:val="center"/>
        <w:rPr>
          <w:b/>
          <w:sz w:val="24"/>
          <w:szCs w:val="24"/>
        </w:rPr>
      </w:pPr>
      <w:proofErr w:type="gramStart"/>
      <w:r w:rsidRPr="00610370">
        <w:rPr>
          <w:b/>
          <w:sz w:val="24"/>
          <w:szCs w:val="24"/>
        </w:rPr>
        <w:t>határozata</w:t>
      </w:r>
      <w:proofErr w:type="gramEnd"/>
    </w:p>
    <w:p w:rsidR="0081617A" w:rsidRPr="00610370" w:rsidRDefault="0081617A" w:rsidP="0081617A">
      <w:pPr>
        <w:jc w:val="center"/>
        <w:rPr>
          <w:b/>
          <w:sz w:val="24"/>
          <w:szCs w:val="24"/>
        </w:rPr>
      </w:pPr>
    </w:p>
    <w:p w:rsidR="0081617A" w:rsidRPr="00610370" w:rsidRDefault="00235DF0" w:rsidP="0081617A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Kezdeményezés önerő biztosításához tanuszoda megvalósítására</w:t>
      </w:r>
    </w:p>
    <w:p w:rsidR="0081617A" w:rsidRPr="00610370" w:rsidRDefault="0081617A" w:rsidP="0081617A">
      <w:pPr>
        <w:rPr>
          <w:sz w:val="24"/>
          <w:szCs w:val="24"/>
        </w:rPr>
      </w:pPr>
    </w:p>
    <w:p w:rsidR="0081617A" w:rsidRDefault="0081617A" w:rsidP="0081617A">
      <w:pPr>
        <w:rPr>
          <w:sz w:val="24"/>
          <w:szCs w:val="24"/>
        </w:rPr>
      </w:pPr>
    </w:p>
    <w:p w:rsidR="00235DF0" w:rsidRPr="00610370" w:rsidRDefault="00235DF0" w:rsidP="00235DF0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 Város Önkormányzata Képviselő-testülete a „</w:t>
      </w:r>
      <w:r>
        <w:rPr>
          <w:b/>
          <w:sz w:val="24"/>
          <w:szCs w:val="24"/>
        </w:rPr>
        <w:t>Kezdeményezés önerő biztosításához</w:t>
      </w:r>
      <w:r>
        <w:rPr>
          <w:b/>
          <w:sz w:val="24"/>
          <w:szCs w:val="24"/>
        </w:rPr>
        <w:t xml:space="preserve"> tanuszoda megvalósítására” megnevezésű előterjesztéssel kapcsolatban az alábbi döntést hozza: </w:t>
      </w:r>
    </w:p>
    <w:p w:rsidR="00235DF0" w:rsidRPr="00610370" w:rsidRDefault="00235DF0" w:rsidP="00235DF0">
      <w:pPr>
        <w:jc w:val="both"/>
        <w:rPr>
          <w:sz w:val="24"/>
          <w:szCs w:val="24"/>
        </w:rPr>
      </w:pPr>
    </w:p>
    <w:p w:rsidR="0081617A" w:rsidRPr="00235DF0" w:rsidRDefault="00235DF0" w:rsidP="00235DF0">
      <w:pPr>
        <w:pStyle w:val="Listaszerbekezds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jelen határozat </w:t>
      </w:r>
      <w:r w:rsidRPr="00235DF0">
        <w:rPr>
          <w:b/>
          <w:sz w:val="24"/>
          <w:szCs w:val="24"/>
        </w:rPr>
        <w:t xml:space="preserve">1. melléklete szerinti </w:t>
      </w:r>
      <w:r>
        <w:rPr>
          <w:b/>
          <w:sz w:val="24"/>
          <w:szCs w:val="24"/>
        </w:rPr>
        <w:t xml:space="preserve">megkeresésben foglalt tartalommal kezdeményezi a Tiszavasváriban megvalósítandó tanuszoda beruházáshoz az önkormányzat által biztosítandó </w:t>
      </w:r>
      <w:r w:rsidR="00BD75BE">
        <w:rPr>
          <w:b/>
          <w:sz w:val="24"/>
          <w:szCs w:val="24"/>
        </w:rPr>
        <w:t>önerő állam általi biztosítását</w:t>
      </w:r>
      <w:r>
        <w:rPr>
          <w:b/>
          <w:sz w:val="24"/>
          <w:szCs w:val="24"/>
        </w:rPr>
        <w:t xml:space="preserve">. </w:t>
      </w:r>
    </w:p>
    <w:p w:rsidR="0081617A" w:rsidRPr="00235DF0" w:rsidRDefault="0081617A" w:rsidP="00235DF0">
      <w:pPr>
        <w:pStyle w:val="Listaszerbekezds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235DF0">
        <w:rPr>
          <w:sz w:val="24"/>
          <w:szCs w:val="24"/>
        </w:rPr>
        <w:t xml:space="preserve">Felkéri </w:t>
      </w:r>
      <w:r w:rsidR="00235DF0" w:rsidRPr="00235DF0">
        <w:rPr>
          <w:sz w:val="24"/>
          <w:szCs w:val="24"/>
        </w:rPr>
        <w:t>a polgármestert</w:t>
      </w:r>
      <w:r w:rsidRPr="00235DF0">
        <w:rPr>
          <w:sz w:val="24"/>
          <w:szCs w:val="24"/>
        </w:rPr>
        <w:t xml:space="preserve">, hogy </w:t>
      </w:r>
      <w:r w:rsidR="00235DF0" w:rsidRPr="00235DF0">
        <w:rPr>
          <w:sz w:val="24"/>
          <w:szCs w:val="24"/>
        </w:rPr>
        <w:t xml:space="preserve">a kezdeményezést továbbítsa az </w:t>
      </w:r>
      <w:r w:rsidR="00235DF0" w:rsidRPr="00235DF0">
        <w:rPr>
          <w:b/>
          <w:sz w:val="24"/>
          <w:szCs w:val="24"/>
        </w:rPr>
        <w:t>Emberi Erőforrások Minisztériuma</w:t>
      </w:r>
      <w:r w:rsidR="00235DF0" w:rsidRPr="00235DF0">
        <w:rPr>
          <w:b/>
          <w:sz w:val="24"/>
          <w:szCs w:val="24"/>
        </w:rPr>
        <w:t xml:space="preserve"> </w:t>
      </w:r>
      <w:r w:rsidR="00235DF0" w:rsidRPr="00235DF0">
        <w:rPr>
          <w:b/>
          <w:sz w:val="24"/>
          <w:szCs w:val="24"/>
        </w:rPr>
        <w:t>Sportért Felelős Államtitkárság</w:t>
      </w:r>
      <w:r w:rsidR="00235DF0" w:rsidRPr="00235DF0">
        <w:rPr>
          <w:b/>
          <w:sz w:val="24"/>
          <w:szCs w:val="24"/>
        </w:rPr>
        <w:t>a felé.</w:t>
      </w:r>
    </w:p>
    <w:p w:rsidR="0081617A" w:rsidRPr="00610370" w:rsidRDefault="0081617A" w:rsidP="00235DF0">
      <w:pPr>
        <w:jc w:val="both"/>
        <w:rPr>
          <w:sz w:val="24"/>
          <w:szCs w:val="24"/>
        </w:rPr>
      </w:pPr>
    </w:p>
    <w:p w:rsidR="0081617A" w:rsidRPr="00610370" w:rsidRDefault="0081617A" w:rsidP="00235DF0">
      <w:pPr>
        <w:jc w:val="both"/>
        <w:rPr>
          <w:sz w:val="24"/>
          <w:szCs w:val="24"/>
        </w:rPr>
      </w:pPr>
    </w:p>
    <w:p w:rsidR="0081617A" w:rsidRPr="00610370" w:rsidRDefault="0081617A" w:rsidP="0081617A">
      <w:pPr>
        <w:rPr>
          <w:sz w:val="24"/>
          <w:szCs w:val="24"/>
        </w:rPr>
      </w:pPr>
    </w:p>
    <w:p w:rsidR="0081617A" w:rsidRDefault="0081617A" w:rsidP="0081617A">
      <w:pPr>
        <w:jc w:val="both"/>
        <w:rPr>
          <w:sz w:val="24"/>
          <w:szCs w:val="24"/>
        </w:rPr>
      </w:pPr>
      <w:r w:rsidRPr="00610370">
        <w:rPr>
          <w:b/>
          <w:sz w:val="24"/>
          <w:szCs w:val="24"/>
          <w:u w:val="single"/>
        </w:rPr>
        <w:t>Határidő:</w:t>
      </w:r>
      <w:r w:rsidRPr="00610370">
        <w:rPr>
          <w:sz w:val="24"/>
          <w:szCs w:val="24"/>
        </w:rPr>
        <w:t xml:space="preserve"> </w:t>
      </w:r>
      <w:proofErr w:type="gramStart"/>
      <w:r w:rsidR="00235DF0">
        <w:rPr>
          <w:sz w:val="24"/>
          <w:szCs w:val="24"/>
        </w:rPr>
        <w:t>azonnal</w:t>
      </w:r>
      <w:r w:rsidRPr="00610370">
        <w:rPr>
          <w:sz w:val="24"/>
          <w:szCs w:val="24"/>
        </w:rPr>
        <w:tab/>
      </w:r>
      <w:r w:rsidRPr="00610370">
        <w:rPr>
          <w:sz w:val="24"/>
          <w:szCs w:val="24"/>
        </w:rPr>
        <w:tab/>
      </w:r>
      <w:r w:rsidRPr="00610370">
        <w:rPr>
          <w:sz w:val="24"/>
          <w:szCs w:val="24"/>
        </w:rPr>
        <w:tab/>
        <w:t xml:space="preserve">                                   </w:t>
      </w:r>
      <w:r w:rsidRPr="00610370">
        <w:rPr>
          <w:b/>
          <w:sz w:val="24"/>
          <w:szCs w:val="24"/>
          <w:u w:val="single"/>
        </w:rPr>
        <w:t>Felelős</w:t>
      </w:r>
      <w:proofErr w:type="gramEnd"/>
      <w:r w:rsidRPr="00610370">
        <w:rPr>
          <w:b/>
          <w:sz w:val="24"/>
          <w:szCs w:val="24"/>
          <w:u w:val="single"/>
        </w:rPr>
        <w:t>:</w:t>
      </w:r>
      <w:r w:rsidRPr="00610370">
        <w:rPr>
          <w:sz w:val="24"/>
          <w:szCs w:val="24"/>
        </w:rPr>
        <w:t xml:space="preserve"> </w:t>
      </w:r>
      <w:r w:rsidR="00235DF0">
        <w:rPr>
          <w:sz w:val="24"/>
          <w:szCs w:val="24"/>
        </w:rPr>
        <w:t>Szőke Zoltán</w:t>
      </w:r>
    </w:p>
    <w:p w:rsidR="00235DF0" w:rsidRPr="00610370" w:rsidRDefault="00235DF0" w:rsidP="0081617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polgármester</w:t>
      </w:r>
      <w:proofErr w:type="gramEnd"/>
    </w:p>
    <w:p w:rsidR="0081617A" w:rsidRPr="00610370" w:rsidRDefault="0081617A" w:rsidP="0081617A">
      <w:pPr>
        <w:jc w:val="both"/>
        <w:rPr>
          <w:sz w:val="24"/>
          <w:szCs w:val="24"/>
        </w:rPr>
      </w:pPr>
    </w:p>
    <w:p w:rsidR="0081617A" w:rsidRPr="00610370" w:rsidRDefault="0081617A" w:rsidP="00235DF0">
      <w:pPr>
        <w:jc w:val="both"/>
        <w:rPr>
          <w:sz w:val="24"/>
          <w:szCs w:val="24"/>
        </w:rPr>
      </w:pPr>
      <w:r w:rsidRPr="00610370">
        <w:rPr>
          <w:sz w:val="24"/>
          <w:szCs w:val="24"/>
        </w:rPr>
        <w:tab/>
      </w:r>
      <w:r w:rsidRPr="00610370">
        <w:rPr>
          <w:sz w:val="24"/>
          <w:szCs w:val="24"/>
        </w:rPr>
        <w:tab/>
      </w:r>
      <w:r w:rsidRPr="00610370">
        <w:rPr>
          <w:sz w:val="24"/>
          <w:szCs w:val="24"/>
        </w:rPr>
        <w:tab/>
      </w:r>
    </w:p>
    <w:p w:rsidR="0081617A" w:rsidRPr="00610370" w:rsidRDefault="0081617A" w:rsidP="0081617A">
      <w:pPr>
        <w:jc w:val="both"/>
        <w:rPr>
          <w:sz w:val="24"/>
          <w:szCs w:val="24"/>
        </w:rPr>
      </w:pPr>
    </w:p>
    <w:p w:rsidR="0081617A" w:rsidRDefault="0081617A" w:rsidP="0081617A">
      <w:pPr>
        <w:jc w:val="both"/>
      </w:pP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0370" w:rsidRDefault="00610370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35DF0" w:rsidRDefault="00235DF0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35DF0" w:rsidRDefault="00235DF0" w:rsidP="00AB0E93">
      <w:pPr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235DF0" w:rsidRDefault="00235DF0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55BD" w:rsidRPr="009E55BD" w:rsidRDefault="009E55BD" w:rsidP="009E55BD">
      <w:pPr>
        <w:pStyle w:val="Listaszerbekezds"/>
        <w:numPr>
          <w:ilvl w:val="0"/>
          <w:numId w:val="3"/>
        </w:numPr>
        <w:rPr>
          <w:b/>
          <w:smallCaps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>
        <w:rPr>
          <w:b/>
          <w:smallCaps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MELLÉKLET …</w:t>
      </w:r>
      <w:proofErr w:type="gramEnd"/>
      <w:r>
        <w:rPr>
          <w:b/>
          <w:smallCaps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…./</w:t>
      </w:r>
      <w:r w:rsidR="004B4C46">
        <w:rPr>
          <w:b/>
          <w:smallCaps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2018 (xi</w:t>
      </w:r>
      <w:r>
        <w:rPr>
          <w:b/>
          <w:smallCaps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.22.) </w:t>
      </w:r>
      <w:proofErr w:type="spellStart"/>
      <w:r>
        <w:rPr>
          <w:b/>
          <w:smallCaps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kT</w:t>
      </w:r>
      <w:proofErr w:type="spellEnd"/>
      <w:r>
        <w:rPr>
          <w:b/>
          <w:smallCaps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SZÁMÚ HATÁROZATHOZ</w:t>
      </w:r>
    </w:p>
    <w:p w:rsidR="009E55BD" w:rsidRDefault="009E55BD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3574B" w:rsidRPr="0069311E" w:rsidRDefault="0033574B" w:rsidP="0033574B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311E"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Tiszavasvári Város Polgármesterétől </w:t>
      </w:r>
    </w:p>
    <w:p w:rsidR="0033574B" w:rsidRPr="002E0786" w:rsidRDefault="0033574B" w:rsidP="0033574B">
      <w:pPr>
        <w:jc w:val="center"/>
        <w:rPr>
          <w:sz w:val="24"/>
          <w:szCs w:val="24"/>
        </w:rPr>
      </w:pPr>
      <w:r w:rsidRPr="002E0786">
        <w:rPr>
          <w:sz w:val="24"/>
          <w:szCs w:val="24"/>
        </w:rPr>
        <w:t>4440 Tiszavasvári, Városháza tér 4. sz.</w:t>
      </w:r>
    </w:p>
    <w:p w:rsidR="0033574B" w:rsidRPr="00C7380D" w:rsidRDefault="0033574B" w:rsidP="0033574B">
      <w:pPr>
        <w:pBdr>
          <w:bottom w:val="double" w:sz="12" w:space="1" w:color="auto"/>
        </w:pBdr>
        <w:jc w:val="center"/>
        <w:rPr>
          <w:sz w:val="24"/>
          <w:szCs w:val="24"/>
        </w:rPr>
      </w:pPr>
      <w:r w:rsidRPr="002E0786">
        <w:rPr>
          <w:sz w:val="24"/>
          <w:szCs w:val="24"/>
        </w:rPr>
        <w:t>Tel</w:t>
      </w:r>
      <w:proofErr w:type="gramStart"/>
      <w:r w:rsidRPr="002E0786">
        <w:rPr>
          <w:sz w:val="24"/>
          <w:szCs w:val="24"/>
        </w:rPr>
        <w:t>.:</w:t>
      </w:r>
      <w:proofErr w:type="gramEnd"/>
      <w:r w:rsidRPr="002E0786">
        <w:rPr>
          <w:sz w:val="24"/>
          <w:szCs w:val="24"/>
        </w:rPr>
        <w:t xml:space="preserve"> 42/520–500 Fax.: 42/275–000 e–mail</w:t>
      </w:r>
      <w:r w:rsidRPr="00C7380D">
        <w:rPr>
          <w:sz w:val="24"/>
          <w:szCs w:val="24"/>
        </w:rPr>
        <w:t xml:space="preserve">: </w:t>
      </w:r>
      <w:r w:rsidRPr="00C7380D">
        <w:rPr>
          <w:rStyle w:val="Hiperhivatkozs1"/>
          <w:sz w:val="24"/>
          <w:szCs w:val="24"/>
        </w:rPr>
        <w:t>tvonkph@tiszavasvari.hu</w:t>
      </w:r>
    </w:p>
    <w:p w:rsidR="0033574B" w:rsidRDefault="0033574B" w:rsidP="0033574B">
      <w:pPr>
        <w:rPr>
          <w:sz w:val="22"/>
          <w:szCs w:val="22"/>
        </w:rPr>
      </w:pPr>
    </w:p>
    <w:p w:rsidR="0033574B" w:rsidRPr="0033574B" w:rsidRDefault="0033574B" w:rsidP="0033574B">
      <w:pPr>
        <w:rPr>
          <w:sz w:val="22"/>
          <w:szCs w:val="22"/>
        </w:rPr>
      </w:pPr>
      <w:r w:rsidRPr="0033574B">
        <w:rPr>
          <w:sz w:val="22"/>
          <w:szCs w:val="22"/>
        </w:rPr>
        <w:t>Ügyiratszám:</w:t>
      </w:r>
    </w:p>
    <w:p w:rsidR="0033574B" w:rsidRDefault="0033574B" w:rsidP="0033574B">
      <w:pPr>
        <w:rPr>
          <w:sz w:val="24"/>
          <w:szCs w:val="24"/>
        </w:rPr>
      </w:pPr>
      <w:r w:rsidRPr="0033574B">
        <w:rPr>
          <w:sz w:val="22"/>
          <w:szCs w:val="22"/>
        </w:rPr>
        <w:t>Ügyintéző:</w:t>
      </w:r>
      <w:r w:rsidRPr="000307F6">
        <w:rPr>
          <w:sz w:val="22"/>
          <w:szCs w:val="22"/>
        </w:rPr>
        <w:t xml:space="preserve"> </w:t>
      </w:r>
    </w:p>
    <w:p w:rsidR="0033574B" w:rsidRDefault="0033574B" w:rsidP="0033574B">
      <w:pPr>
        <w:rPr>
          <w:sz w:val="24"/>
          <w:szCs w:val="24"/>
        </w:rPr>
      </w:pPr>
    </w:p>
    <w:p w:rsidR="005D25AC" w:rsidRDefault="005D25AC" w:rsidP="0033574B">
      <w:pPr>
        <w:rPr>
          <w:sz w:val="24"/>
          <w:szCs w:val="24"/>
        </w:rPr>
      </w:pPr>
    </w:p>
    <w:p w:rsidR="0033574B" w:rsidRPr="00915CD0" w:rsidRDefault="009B7ED8" w:rsidP="0033574B">
      <w:pPr>
        <w:rPr>
          <w:b/>
          <w:sz w:val="24"/>
          <w:szCs w:val="24"/>
        </w:rPr>
      </w:pPr>
      <w:r w:rsidRPr="00915CD0">
        <w:rPr>
          <w:b/>
          <w:sz w:val="24"/>
          <w:szCs w:val="24"/>
        </w:rPr>
        <w:t>Emberi Erőforrások Minisztériuma</w:t>
      </w:r>
    </w:p>
    <w:p w:rsidR="009B7ED8" w:rsidRPr="00915CD0" w:rsidRDefault="009B7ED8" w:rsidP="0033574B">
      <w:pPr>
        <w:rPr>
          <w:b/>
          <w:sz w:val="24"/>
          <w:szCs w:val="24"/>
        </w:rPr>
      </w:pPr>
      <w:r w:rsidRPr="00915CD0">
        <w:rPr>
          <w:b/>
          <w:sz w:val="24"/>
          <w:szCs w:val="24"/>
        </w:rPr>
        <w:t>Sportért Felelős Államtitkárság</w:t>
      </w:r>
    </w:p>
    <w:p w:rsidR="009B7ED8" w:rsidRPr="00915CD0" w:rsidRDefault="009B7ED8" w:rsidP="0033574B">
      <w:pPr>
        <w:rPr>
          <w:b/>
          <w:sz w:val="24"/>
          <w:szCs w:val="24"/>
        </w:rPr>
      </w:pPr>
    </w:p>
    <w:p w:rsidR="009B7ED8" w:rsidRDefault="00DC6A0F" w:rsidP="0033574B">
      <w:pPr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9B7ED8" w:rsidRPr="00915CD0">
        <w:rPr>
          <w:b/>
          <w:sz w:val="24"/>
          <w:szCs w:val="24"/>
        </w:rPr>
        <w:t>r. Szabó Tünde államtitkár részére</w:t>
      </w:r>
    </w:p>
    <w:p w:rsidR="00915CD0" w:rsidRDefault="00915CD0" w:rsidP="0033574B">
      <w:pPr>
        <w:rPr>
          <w:b/>
          <w:sz w:val="24"/>
          <w:szCs w:val="24"/>
        </w:rPr>
      </w:pPr>
    </w:p>
    <w:p w:rsidR="005D25AC" w:rsidRDefault="005D25AC" w:rsidP="0033574B">
      <w:pPr>
        <w:rPr>
          <w:b/>
          <w:sz w:val="24"/>
          <w:szCs w:val="24"/>
        </w:rPr>
      </w:pPr>
    </w:p>
    <w:p w:rsidR="005D25AC" w:rsidRDefault="005D25AC" w:rsidP="0033574B">
      <w:pPr>
        <w:rPr>
          <w:b/>
          <w:sz w:val="24"/>
          <w:szCs w:val="24"/>
        </w:rPr>
      </w:pPr>
    </w:p>
    <w:p w:rsidR="00915CD0" w:rsidRDefault="00915CD0" w:rsidP="00E74A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Tisztelt Államtitkár Nő!</w:t>
      </w:r>
    </w:p>
    <w:p w:rsidR="00915CD0" w:rsidRDefault="00915CD0" w:rsidP="0033574B">
      <w:pPr>
        <w:rPr>
          <w:b/>
          <w:sz w:val="24"/>
          <w:szCs w:val="24"/>
        </w:rPr>
      </w:pPr>
    </w:p>
    <w:p w:rsidR="009A16C5" w:rsidRDefault="009A16C5" w:rsidP="00E74A3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A16C5" w:rsidRPr="009A16C5" w:rsidRDefault="009A16C5" w:rsidP="009A16C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16C5">
        <w:rPr>
          <w:rFonts w:ascii="Times New Roman" w:hAnsi="Times New Roman" w:cs="Times New Roman"/>
          <w:b/>
          <w:color w:val="000000"/>
          <w:sz w:val="24"/>
          <w:szCs w:val="24"/>
        </w:rPr>
        <w:t>Előzmények, helyzetismertetés:</w:t>
      </w:r>
    </w:p>
    <w:p w:rsidR="009A16C5" w:rsidRPr="009A16C5" w:rsidRDefault="009A16C5" w:rsidP="009A16C5">
      <w:pPr>
        <w:pStyle w:val="Nincstrkz"/>
        <w:ind w:left="10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74A3F" w:rsidRPr="007D68C6" w:rsidRDefault="00E74A3F" w:rsidP="009A16C5">
      <w:pPr>
        <w:pStyle w:val="Nincstrkz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33B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 w:cs="Times New Roman"/>
          <w:color w:val="000000"/>
          <w:sz w:val="24"/>
          <w:szCs w:val="24"/>
        </w:rPr>
        <w:t>Nemzeti Sportközpont</w:t>
      </w:r>
      <w:r w:rsidR="00E620FF">
        <w:rPr>
          <w:rFonts w:ascii="Times New Roman" w:hAnsi="Times New Roman" w:cs="Times New Roman"/>
          <w:color w:val="000000"/>
          <w:sz w:val="24"/>
          <w:szCs w:val="24"/>
        </w:rPr>
        <w:t>ok (továbbiakban: NSK) még 2017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júniusában kereste meg Tiszavasvári Város Önkormányzatát a Nemzeti Köznevelési Infrastruktúra Fejlesztési Program II. ütemének keretében megvalósuló tanuszoda beruházás előkészítésével kapcsolatosan. Megkeresésükben kérték, jelöljük meg az általunk megfelelőnek tartott helyszínt, melynek eleget téve 2 helyszínt tartunk megfelelőnek a tanuszoda megvalósítására: </w:t>
      </w:r>
      <w:r w:rsidRPr="007D68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Vágóhíd u. 6661 </w:t>
      </w:r>
      <w:proofErr w:type="spellStart"/>
      <w:r w:rsidRPr="007D68C6">
        <w:rPr>
          <w:rFonts w:ascii="Times New Roman" w:hAnsi="Times New Roman" w:cs="Times New Roman"/>
          <w:b/>
          <w:color w:val="000000"/>
          <w:sz w:val="24"/>
          <w:szCs w:val="24"/>
        </w:rPr>
        <w:t>hrsz</w:t>
      </w:r>
      <w:proofErr w:type="spellEnd"/>
      <w:r w:rsidRPr="007D68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0459C" w:rsidRPr="007D68C6">
        <w:rPr>
          <w:rFonts w:ascii="Times New Roman" w:hAnsi="Times New Roman" w:cs="Times New Roman"/>
          <w:b/>
          <w:color w:val="000000"/>
          <w:sz w:val="24"/>
          <w:szCs w:val="24"/>
        </w:rPr>
        <w:t>vagy</w:t>
      </w:r>
      <w:r w:rsidRPr="007D68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 </w:t>
      </w:r>
      <w:r w:rsidR="0080459C" w:rsidRPr="007D68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Városi Sportcsarnok </w:t>
      </w:r>
      <w:r w:rsidR="00C6545A" w:rsidRPr="007D68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(Petőfi út) </w:t>
      </w:r>
      <w:r w:rsidR="0080459C" w:rsidRPr="007D68C6">
        <w:rPr>
          <w:rFonts w:ascii="Times New Roman" w:hAnsi="Times New Roman" w:cs="Times New Roman"/>
          <w:b/>
          <w:color w:val="000000"/>
          <w:sz w:val="24"/>
          <w:szCs w:val="24"/>
        </w:rPr>
        <w:t>területe.</w:t>
      </w:r>
    </w:p>
    <w:p w:rsidR="0080459C" w:rsidRPr="007D68C6" w:rsidRDefault="0080459C" w:rsidP="00E74A3F">
      <w:pPr>
        <w:pStyle w:val="Nincstrkz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2363E" w:rsidRPr="0032363E" w:rsidRDefault="0080459C" w:rsidP="00C6545A">
      <w:pPr>
        <w:pStyle w:val="Nincstrkz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3236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Hajdúkerületi és Bihari </w:t>
      </w:r>
      <w:proofErr w:type="spellStart"/>
      <w:r w:rsidRPr="0032363E">
        <w:rPr>
          <w:rFonts w:ascii="Times New Roman" w:hAnsi="Times New Roman" w:cs="Times New Roman"/>
          <w:b/>
          <w:color w:val="000000"/>
          <w:sz w:val="24"/>
          <w:szCs w:val="24"/>
        </w:rPr>
        <w:t>Víziközmű</w:t>
      </w:r>
      <w:proofErr w:type="spellEnd"/>
      <w:r w:rsidRPr="003236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Szolgáltató </w:t>
      </w:r>
      <w:proofErr w:type="spellStart"/>
      <w:r w:rsidRPr="0032363E">
        <w:rPr>
          <w:rFonts w:ascii="Times New Roman" w:hAnsi="Times New Roman" w:cs="Times New Roman"/>
          <w:b/>
          <w:color w:val="000000"/>
          <w:sz w:val="24"/>
          <w:szCs w:val="24"/>
        </w:rPr>
        <w:t>Zrt</w:t>
      </w:r>
      <w:proofErr w:type="spellEnd"/>
      <w:r w:rsidRPr="0032363E">
        <w:rPr>
          <w:rFonts w:ascii="Times New Roman" w:hAnsi="Times New Roman" w:cs="Times New Roman"/>
          <w:b/>
          <w:color w:val="000000"/>
          <w:sz w:val="24"/>
          <w:szCs w:val="24"/>
        </w:rPr>
        <w:t>. Tiszavasvári Üzemigazgatósága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545A">
        <w:rPr>
          <w:rFonts w:ascii="Times New Roman" w:hAnsi="Times New Roman" w:cs="Times New Roman"/>
          <w:color w:val="000000"/>
          <w:sz w:val="24"/>
          <w:szCs w:val="24"/>
        </w:rPr>
        <w:t xml:space="preserve">(továbbiakban: HBVSZ </w:t>
      </w:r>
      <w:proofErr w:type="spellStart"/>
      <w:r w:rsidR="00C6545A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="00C6545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az Önkormányzat felkérése alapján - </w:t>
      </w:r>
      <w:r w:rsidRPr="003236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megvizsgálta fent említett két helyszínt és a Vágóhíd úti ingatlant javasolják megfelelőbbnek az alábbiak miatt: </w:t>
      </w:r>
    </w:p>
    <w:p w:rsidR="0032363E" w:rsidRPr="0032363E" w:rsidRDefault="0032363E" w:rsidP="00C6545A">
      <w:pPr>
        <w:pStyle w:val="Nincstrkz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6545A" w:rsidRDefault="0032363E" w:rsidP="00C6545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80459C">
        <w:rPr>
          <w:rFonts w:ascii="Times New Roman" w:hAnsi="Times New Roman" w:cs="Times New Roman"/>
          <w:color w:val="000000"/>
          <w:sz w:val="24"/>
          <w:szCs w:val="24"/>
        </w:rPr>
        <w:t xml:space="preserve"> HBVSZ </w:t>
      </w:r>
      <w:proofErr w:type="spellStart"/>
      <w:r w:rsidR="0080459C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="0080459C">
        <w:rPr>
          <w:rFonts w:ascii="Times New Roman" w:hAnsi="Times New Roman" w:cs="Times New Roman"/>
          <w:color w:val="000000"/>
          <w:sz w:val="24"/>
          <w:szCs w:val="24"/>
        </w:rPr>
        <w:t xml:space="preserve">. részéről </w:t>
      </w:r>
      <w:r w:rsidR="0080459C" w:rsidRPr="007D68C6">
        <w:rPr>
          <w:rFonts w:ascii="Times New Roman" w:hAnsi="Times New Roman" w:cs="Times New Roman"/>
          <w:b/>
          <w:color w:val="000000"/>
          <w:sz w:val="24"/>
          <w:szCs w:val="24"/>
        </w:rPr>
        <w:t>a Vágóhíd úti ingatlanon az ivóvíz biztonságosan biztosítható az üdülőterületet ellátó 2 db ivóvíz vezetékről</w:t>
      </w:r>
      <w:r w:rsidR="00C6545A">
        <w:rPr>
          <w:rFonts w:ascii="Times New Roman" w:hAnsi="Times New Roman" w:cs="Times New Roman"/>
          <w:color w:val="000000"/>
          <w:sz w:val="24"/>
          <w:szCs w:val="24"/>
        </w:rPr>
        <w:t xml:space="preserve">. A tanuszoda egyidejű feltöltését az ivóvíz hálózat, illetve a Városi Vízmű is képes kapacitásilag biztosítani. A terület mellett elhaladó </w:t>
      </w:r>
      <w:r w:rsidR="00C6545A" w:rsidRPr="007D68C6">
        <w:rPr>
          <w:rFonts w:ascii="Times New Roman" w:hAnsi="Times New Roman" w:cs="Times New Roman"/>
          <w:b/>
          <w:color w:val="000000"/>
          <w:sz w:val="24"/>
          <w:szCs w:val="24"/>
        </w:rPr>
        <w:t>Hortobágyi csatorna, a csatornába vezetendő vizet el tudja vezetni,</w:t>
      </w:r>
      <w:r w:rsidR="00C6545A">
        <w:rPr>
          <w:rFonts w:ascii="Times New Roman" w:hAnsi="Times New Roman" w:cs="Times New Roman"/>
          <w:color w:val="000000"/>
          <w:sz w:val="24"/>
          <w:szCs w:val="24"/>
        </w:rPr>
        <w:t xml:space="preserve"> a már a Tiszavasvári üdülőterületen megvalósult belvízelvezető projekt megvalósulásának köszönhetően, már az üdülő területet sem veszélyezteti a tanuszoda szennyvízének leeresztése. Ezzel szemben a </w:t>
      </w:r>
      <w:r w:rsidR="00C6545A" w:rsidRPr="007D68C6">
        <w:rPr>
          <w:rFonts w:ascii="Times New Roman" w:hAnsi="Times New Roman" w:cs="Times New Roman"/>
          <w:b/>
          <w:color w:val="000000"/>
          <w:sz w:val="24"/>
          <w:szCs w:val="24"/>
        </w:rPr>
        <w:t>Petőfi úti ingatlan szennyvízelvezetés szempontjából akadályokba ütközhet</w:t>
      </w:r>
      <w:r w:rsidR="00C6545A">
        <w:rPr>
          <w:rFonts w:ascii="Times New Roman" w:hAnsi="Times New Roman" w:cs="Times New Roman"/>
          <w:color w:val="000000"/>
          <w:sz w:val="24"/>
          <w:szCs w:val="24"/>
        </w:rPr>
        <w:t xml:space="preserve">, mivel a medence egyidejű leeresztése hirtelen kiugró terhelést ad a szennyvízelvezető rendszerre, illetve az átemelő aknákra és szivattyúkra, mely a lakosság részére végzett </w:t>
      </w:r>
      <w:proofErr w:type="spellStart"/>
      <w:r w:rsidR="00C6545A">
        <w:rPr>
          <w:rFonts w:ascii="Times New Roman" w:hAnsi="Times New Roman" w:cs="Times New Roman"/>
          <w:color w:val="000000"/>
          <w:sz w:val="24"/>
          <w:szCs w:val="24"/>
        </w:rPr>
        <w:t>víziközmű</w:t>
      </w:r>
      <w:proofErr w:type="spellEnd"/>
      <w:r w:rsidR="00C654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545A" w:rsidRPr="007D68C6">
        <w:rPr>
          <w:rFonts w:ascii="Times New Roman" w:hAnsi="Times New Roman" w:cs="Times New Roman"/>
          <w:b/>
          <w:color w:val="000000"/>
          <w:sz w:val="24"/>
          <w:szCs w:val="24"/>
        </w:rPr>
        <w:t>szolgáltatást akadályozhatja.</w:t>
      </w:r>
      <w:r w:rsidR="00C654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6545A" w:rsidRDefault="00C6545A" w:rsidP="00E74A3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Hortobágyi csatornába történő bevezetés vízjogi üzemeltetési engedély köteles tevékenység, mely engedélyeztetési eljárásnak is vannak költségei (pl.: vízjogi létesítési és üzemeltetési tervdokumentáció elkészítése</w:t>
      </w:r>
      <w:r w:rsidR="00025AAA">
        <w:rPr>
          <w:rFonts w:ascii="Times New Roman" w:hAnsi="Times New Roman" w:cs="Times New Roman"/>
          <w:color w:val="000000"/>
          <w:sz w:val="24"/>
          <w:szCs w:val="24"/>
        </w:rPr>
        <w:t>, szennyvízelvezető vezeték kiépítésének díja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). A szennyvízkezelést a HBVSZ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nettó 227,5+Áfa/m3 díjon végzi el.</w:t>
      </w:r>
      <w:r w:rsidR="00025A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74A3F" w:rsidRDefault="00E74A3F" w:rsidP="00E74A3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5AC" w:rsidRDefault="005D25AC" w:rsidP="00E74A3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5AC" w:rsidRDefault="005D25AC" w:rsidP="00E74A3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5AC" w:rsidRDefault="005D25AC" w:rsidP="00E74A3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5AC" w:rsidRPr="009A16C5" w:rsidRDefault="009A16C5" w:rsidP="009A16C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16C5">
        <w:rPr>
          <w:rFonts w:ascii="Times New Roman" w:hAnsi="Times New Roman" w:cs="Times New Roman"/>
          <w:b/>
          <w:color w:val="000000"/>
          <w:sz w:val="24"/>
          <w:szCs w:val="24"/>
        </w:rPr>
        <w:t>Költségkimutatás:</w:t>
      </w:r>
    </w:p>
    <w:p w:rsidR="005D25AC" w:rsidRDefault="005D25AC" w:rsidP="00E74A3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A3F" w:rsidRPr="00025AAA" w:rsidRDefault="00E74A3F" w:rsidP="00E74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363E">
        <w:rPr>
          <w:rFonts w:ascii="Times New Roman" w:hAnsi="Times New Roman" w:cs="Times New Roman"/>
          <w:b/>
          <w:sz w:val="24"/>
          <w:szCs w:val="24"/>
        </w:rPr>
        <w:t xml:space="preserve">Az NSK rendelkezésünkre bocsátotta költségkalkulációját </w:t>
      </w:r>
      <w:r w:rsidR="0080459C" w:rsidRPr="0032363E">
        <w:rPr>
          <w:rFonts w:ascii="Times New Roman" w:hAnsi="Times New Roman" w:cs="Times New Roman"/>
          <w:b/>
          <w:sz w:val="24"/>
          <w:szCs w:val="24"/>
        </w:rPr>
        <w:t>a tanuszoda kialakításával kapcsolatban, mely 90 millió forint összegű kiadást irányoz elő.</w:t>
      </w:r>
      <w:r w:rsidR="0080459C" w:rsidRPr="00025AAA">
        <w:rPr>
          <w:rFonts w:ascii="Times New Roman" w:hAnsi="Times New Roman" w:cs="Times New Roman"/>
          <w:sz w:val="24"/>
          <w:szCs w:val="24"/>
        </w:rPr>
        <w:t xml:space="preserve"> Az összeg nagyságára tekintettel Önkormányzatunk is </w:t>
      </w:r>
      <w:r w:rsidR="00025AAA">
        <w:rPr>
          <w:rFonts w:ascii="Times New Roman" w:hAnsi="Times New Roman" w:cs="Times New Roman"/>
          <w:sz w:val="24"/>
          <w:szCs w:val="24"/>
        </w:rPr>
        <w:t>árajánlatokat kért be</w:t>
      </w:r>
    </w:p>
    <w:p w:rsidR="00E74A3F" w:rsidRPr="00915CD0" w:rsidRDefault="00E74A3F" w:rsidP="0033574B">
      <w:pPr>
        <w:rPr>
          <w:b/>
          <w:sz w:val="24"/>
          <w:szCs w:val="24"/>
        </w:rPr>
      </w:pPr>
    </w:p>
    <w:p w:rsidR="00915CD0" w:rsidRDefault="00915CD0" w:rsidP="00915C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1EFA">
        <w:rPr>
          <w:rFonts w:ascii="Times New Roman" w:hAnsi="Times New Roman" w:cs="Times New Roman"/>
          <w:sz w:val="24"/>
          <w:szCs w:val="24"/>
        </w:rPr>
        <w:t>A be</w:t>
      </w:r>
      <w:r>
        <w:rPr>
          <w:rFonts w:ascii="Times New Roman" w:hAnsi="Times New Roman" w:cs="Times New Roman"/>
          <w:sz w:val="24"/>
          <w:szCs w:val="24"/>
        </w:rPr>
        <w:t xml:space="preserve">kért árajánlatok alapján az alábbi költségek merülnek fel a tanuszoda lehetséges helyszínével (Vágóhíd u. 6661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>) kapcsolatosan:</w:t>
      </w:r>
    </w:p>
    <w:p w:rsidR="00915CD0" w:rsidRDefault="00915CD0" w:rsidP="00915CD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15CD0" w:rsidRPr="009A16C5" w:rsidRDefault="00915CD0" w:rsidP="00915CD0">
      <w:pPr>
        <w:pStyle w:val="Nincstrkz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A16C5">
        <w:rPr>
          <w:rFonts w:ascii="Times New Roman" w:hAnsi="Times New Roman" w:cs="Times New Roman"/>
          <w:b/>
          <w:i/>
          <w:sz w:val="24"/>
          <w:szCs w:val="24"/>
          <w:u w:val="single"/>
        </w:rPr>
        <w:t>I. Közművek:</w:t>
      </w:r>
    </w:p>
    <w:p w:rsidR="00915CD0" w:rsidRPr="009A16C5" w:rsidRDefault="00915CD0" w:rsidP="00915CD0">
      <w:pPr>
        <w:pStyle w:val="Nincstrkz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15CD0" w:rsidRPr="009A16C5" w:rsidRDefault="00915CD0" w:rsidP="00915CD0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  <w:r w:rsidRPr="009A16C5">
        <w:rPr>
          <w:rFonts w:ascii="Times New Roman" w:hAnsi="Times New Roman" w:cs="Times New Roman"/>
          <w:b/>
          <w:i/>
          <w:sz w:val="24"/>
          <w:szCs w:val="24"/>
        </w:rPr>
        <w:t>1. Gázelosztó vezeték építése + csatlakozási díj: b. 3.066.196,</w:t>
      </w:r>
      <w:proofErr w:type="spellStart"/>
      <w:r w:rsidRPr="009A16C5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16C5">
        <w:rPr>
          <w:rFonts w:ascii="Times New Roman" w:hAnsi="Times New Roman" w:cs="Times New Roman"/>
          <w:i/>
          <w:sz w:val="24"/>
          <w:szCs w:val="24"/>
        </w:rPr>
        <w:t>Amennyiben megvalósul, akkor ebből az összegből visszafizetésre kerül b. 2.804.671,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 az ingatlan </w:t>
      </w:r>
      <w:r w:rsidRPr="009A16C5">
        <w:rPr>
          <w:rFonts w:ascii="Times New Roman" w:hAnsi="Times New Roman" w:cs="Times New Roman"/>
          <w:i/>
          <w:sz w:val="24"/>
          <w:szCs w:val="24"/>
          <w:u w:val="single"/>
        </w:rPr>
        <w:t xml:space="preserve">mindenkori tulajdonosának részére, amennyiben a felek ettől eltérően nem 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  <w:u w:val="single"/>
        </w:rPr>
        <w:t>állpodnak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  <w:u w:val="single"/>
        </w:rPr>
        <w:t xml:space="preserve"> meg</w:t>
      </w:r>
      <w:r w:rsidRPr="009A16C5">
        <w:rPr>
          <w:rFonts w:ascii="Times New Roman" w:hAnsi="Times New Roman" w:cs="Times New Roman"/>
          <w:i/>
          <w:sz w:val="24"/>
          <w:szCs w:val="24"/>
        </w:rPr>
        <w:t xml:space="preserve">, az 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üzembehelyezést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 követő 2 gázév utáni 2 évben fizeti vissza 2 egyenlő részben kamatmentesen.</w:t>
      </w:r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16C5">
        <w:rPr>
          <w:rFonts w:ascii="Times New Roman" w:hAnsi="Times New Roman" w:cs="Times New Roman"/>
          <w:b/>
          <w:i/>
          <w:sz w:val="24"/>
          <w:szCs w:val="24"/>
        </w:rPr>
        <w:t>2. Elektromos áram közcélú vezeték létestése + csatlakozási díj: b. 3.039.313,</w:t>
      </w:r>
      <w:proofErr w:type="spellStart"/>
      <w:r w:rsidRPr="009A16C5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16C5">
        <w:rPr>
          <w:rFonts w:ascii="Times New Roman" w:hAnsi="Times New Roman" w:cs="Times New Roman"/>
          <w:i/>
          <w:sz w:val="24"/>
          <w:szCs w:val="24"/>
        </w:rPr>
        <w:t xml:space="preserve">Ezen felül ki kell építenünk egy áramváltós kábelfogadó szekrényt, fogyasztásmérő szekrényt, tervet kell készíteni a mérőhely kialakításáról, be kell szerezni az OMH által készített hitelesítési bizonyítvány másolatát, valamint a mérőváltókat be kell szerezni és be is kell építeni (beszerzési ár 50-80 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eFt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>)</w:t>
      </w:r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16C5">
        <w:rPr>
          <w:rFonts w:ascii="Times New Roman" w:hAnsi="Times New Roman" w:cs="Times New Roman"/>
          <w:b/>
          <w:i/>
          <w:sz w:val="24"/>
          <w:szCs w:val="24"/>
        </w:rPr>
        <w:t>3. a) Terület víztelenítése, talajvízszint süllyesztése (terv és kivitelezés): b. 6.681.470,</w:t>
      </w:r>
      <w:proofErr w:type="spellStart"/>
      <w:r w:rsidRPr="009A16C5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16C5">
        <w:rPr>
          <w:rFonts w:ascii="Times New Roman" w:hAnsi="Times New Roman" w:cs="Times New Roman"/>
          <w:b/>
          <w:i/>
          <w:sz w:val="24"/>
          <w:szCs w:val="24"/>
        </w:rPr>
        <w:t xml:space="preserve">Üzemeltetés ára: </w:t>
      </w:r>
      <w:r w:rsidRPr="009A16C5">
        <w:rPr>
          <w:rFonts w:ascii="Times New Roman" w:hAnsi="Times New Roman" w:cs="Times New Roman"/>
          <w:i/>
          <w:sz w:val="24"/>
          <w:szCs w:val="24"/>
        </w:rPr>
        <w:t>n.15.000,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 +Áfa/nap =</w:t>
      </w:r>
      <w:r w:rsidRPr="009A16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16C5">
        <w:rPr>
          <w:rFonts w:ascii="Times New Roman" w:hAnsi="Times New Roman" w:cs="Times New Roman"/>
          <w:i/>
          <w:sz w:val="24"/>
          <w:szCs w:val="24"/>
        </w:rPr>
        <w:t>b. 19.050,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>/nap,</w:t>
      </w:r>
      <w:r w:rsidRPr="009A16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16C5">
        <w:rPr>
          <w:rFonts w:ascii="Times New Roman" w:hAnsi="Times New Roman" w:cs="Times New Roman"/>
          <w:i/>
          <w:sz w:val="24"/>
          <w:szCs w:val="24"/>
        </w:rPr>
        <w:t>az NSK tájékoztatása alapján kb.: 45 napot vesz igénybe a síkalapozás (19.050,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 x 45 nap </w:t>
      </w:r>
      <w:r w:rsidRPr="009A16C5">
        <w:rPr>
          <w:rFonts w:ascii="Times New Roman" w:hAnsi="Times New Roman" w:cs="Times New Roman"/>
          <w:b/>
          <w:i/>
          <w:sz w:val="24"/>
          <w:szCs w:val="24"/>
        </w:rPr>
        <w:t>= b. 857.250,</w:t>
      </w:r>
      <w:proofErr w:type="spellStart"/>
      <w:r w:rsidRPr="009A16C5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)! – NNK 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Kft.-</w:t>
      </w:r>
      <w:proofErr w:type="spellEnd"/>
    </w:p>
    <w:p w:rsidR="00915CD0" w:rsidRPr="009A16C5" w:rsidRDefault="00915CD0" w:rsidP="00915CD0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9A16C5">
        <w:rPr>
          <w:rFonts w:ascii="Times New Roman" w:hAnsi="Times New Roman" w:cs="Times New Roman"/>
          <w:b/>
          <w:i/>
          <w:sz w:val="24"/>
          <w:szCs w:val="24"/>
        </w:rPr>
        <w:t>vagy</w:t>
      </w:r>
      <w:proofErr w:type="gramEnd"/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16C5">
        <w:rPr>
          <w:rFonts w:ascii="Times New Roman" w:hAnsi="Times New Roman" w:cs="Times New Roman"/>
          <w:b/>
          <w:i/>
          <w:sz w:val="24"/>
          <w:szCs w:val="24"/>
        </w:rPr>
        <w:t>b)</w:t>
      </w:r>
      <w:r w:rsidRPr="009A16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16C5">
        <w:rPr>
          <w:rFonts w:ascii="Times New Roman" w:hAnsi="Times New Roman" w:cs="Times New Roman"/>
          <w:b/>
          <w:i/>
          <w:sz w:val="24"/>
          <w:szCs w:val="24"/>
        </w:rPr>
        <w:t>Terület víztelenítése (terv és kivitelezés): b. 9.525.000,</w:t>
      </w:r>
      <w:proofErr w:type="spellStart"/>
      <w:r w:rsidRPr="009A16C5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16C5">
        <w:rPr>
          <w:rFonts w:ascii="Times New Roman" w:hAnsi="Times New Roman" w:cs="Times New Roman"/>
          <w:b/>
          <w:i/>
          <w:sz w:val="24"/>
          <w:szCs w:val="24"/>
        </w:rPr>
        <w:t xml:space="preserve">Üzemeltetés ára: </w:t>
      </w:r>
      <w:r w:rsidRPr="009A16C5">
        <w:rPr>
          <w:rFonts w:ascii="Times New Roman" w:hAnsi="Times New Roman" w:cs="Times New Roman"/>
          <w:i/>
          <w:sz w:val="24"/>
          <w:szCs w:val="24"/>
        </w:rPr>
        <w:t>n. 20.000,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 +Áfa/nap =</w:t>
      </w:r>
      <w:r w:rsidRPr="009A16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16C5">
        <w:rPr>
          <w:rFonts w:ascii="Times New Roman" w:hAnsi="Times New Roman" w:cs="Times New Roman"/>
          <w:i/>
          <w:sz w:val="24"/>
          <w:szCs w:val="24"/>
        </w:rPr>
        <w:t>b. 25.400,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>/nap,</w:t>
      </w:r>
      <w:r w:rsidRPr="009A16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16C5">
        <w:rPr>
          <w:rFonts w:ascii="Times New Roman" w:hAnsi="Times New Roman" w:cs="Times New Roman"/>
          <w:i/>
          <w:sz w:val="24"/>
          <w:szCs w:val="24"/>
        </w:rPr>
        <w:t>az NSK tájékoztatása alapján kb.: 45 napot vesz igénybe a síkalapozás (25.400,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 x 45 nap = </w:t>
      </w:r>
      <w:r w:rsidRPr="009A16C5">
        <w:rPr>
          <w:rFonts w:ascii="Times New Roman" w:hAnsi="Times New Roman" w:cs="Times New Roman"/>
          <w:b/>
          <w:i/>
          <w:sz w:val="24"/>
          <w:szCs w:val="24"/>
        </w:rPr>
        <w:t>b. 1.143.000,</w:t>
      </w:r>
      <w:proofErr w:type="spellStart"/>
      <w:r w:rsidRPr="009A16C5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)! – 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Valvata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Kft.-</w:t>
      </w:r>
      <w:proofErr w:type="spellEnd"/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16C5">
        <w:rPr>
          <w:rFonts w:ascii="Times New Roman" w:hAnsi="Times New Roman" w:cs="Times New Roman"/>
          <w:b/>
          <w:i/>
          <w:sz w:val="24"/>
          <w:szCs w:val="24"/>
        </w:rPr>
        <w:t>4. Ivóvíz és szennyvíz hálózat:</w:t>
      </w:r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16C5">
        <w:rPr>
          <w:rFonts w:ascii="Times New Roman" w:hAnsi="Times New Roman" w:cs="Times New Roman"/>
          <w:i/>
          <w:sz w:val="24"/>
          <w:szCs w:val="24"/>
        </w:rPr>
        <w:t>Ivóvíz biztonságosan biztosítható az üdülő területét ellátó 2 db ivóvíz vezetékről és a medence egyidejű feltöltését is képes ellátni a kapacitását figyelembe véve.</w:t>
      </w:r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16C5">
        <w:rPr>
          <w:rFonts w:ascii="Times New Roman" w:hAnsi="Times New Roman" w:cs="Times New Roman"/>
          <w:i/>
          <w:sz w:val="24"/>
          <w:szCs w:val="24"/>
        </w:rPr>
        <w:t xml:space="preserve">A Hortobágyi főgyűjtő csatorna a leeresztendő szennyvizet el tudja vezetni, amennyiben van rá engedély (nem tudom h van-e?), ha ez nem lehetséges úgy a HBVSZ 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Zrt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>. is el tudja vezetni és a szennyvíztelepen kezelni.</w:t>
      </w:r>
    </w:p>
    <w:p w:rsidR="00915CD0" w:rsidRPr="009A16C5" w:rsidRDefault="00915CD0" w:rsidP="00915CD0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16C5">
        <w:rPr>
          <w:rFonts w:ascii="Times New Roman" w:hAnsi="Times New Roman" w:cs="Times New Roman"/>
          <w:i/>
          <w:sz w:val="24"/>
          <w:szCs w:val="24"/>
        </w:rPr>
        <w:t>Hosszú távon célszerűbb a Hortobágyi főgyűjtő csatornába leereszteni a szennyvizet, ha nincs rá engedélyünk azt meg kell kérni. (tervezés kb.: 250.000,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>, eljárási díj kb.: 140.000,</w:t>
      </w:r>
      <w:proofErr w:type="spellStart"/>
      <w:r w:rsidRPr="009A16C5">
        <w:rPr>
          <w:rFonts w:ascii="Times New Roman" w:hAnsi="Times New Roman" w:cs="Times New Roman"/>
          <w:i/>
          <w:sz w:val="24"/>
          <w:szCs w:val="24"/>
        </w:rPr>
        <w:t>-Ft</w:t>
      </w:r>
      <w:proofErr w:type="spellEnd"/>
      <w:r w:rsidRPr="009A16C5">
        <w:rPr>
          <w:rFonts w:ascii="Times New Roman" w:hAnsi="Times New Roman" w:cs="Times New Roman"/>
          <w:i/>
          <w:sz w:val="24"/>
          <w:szCs w:val="24"/>
        </w:rPr>
        <w:t xml:space="preserve">)     </w:t>
      </w:r>
    </w:p>
    <w:p w:rsidR="009B7ED8" w:rsidRPr="009A16C5" w:rsidRDefault="009B7ED8" w:rsidP="0033574B">
      <w:pPr>
        <w:rPr>
          <w:i/>
          <w:sz w:val="24"/>
          <w:szCs w:val="24"/>
        </w:rPr>
      </w:pPr>
    </w:p>
    <w:p w:rsidR="009B7ED8" w:rsidRDefault="009B7ED8" w:rsidP="0033574B">
      <w:pPr>
        <w:rPr>
          <w:sz w:val="24"/>
          <w:szCs w:val="24"/>
        </w:rPr>
      </w:pPr>
    </w:p>
    <w:p w:rsidR="00D42EA6" w:rsidRPr="00D42EA6" w:rsidRDefault="00D42EA6" w:rsidP="00D42EA6">
      <w:pPr>
        <w:pStyle w:val="Listaszerbekezds"/>
        <w:numPr>
          <w:ilvl w:val="0"/>
          <w:numId w:val="1"/>
        </w:numPr>
        <w:rPr>
          <w:b/>
          <w:sz w:val="24"/>
          <w:szCs w:val="24"/>
        </w:rPr>
      </w:pPr>
      <w:r w:rsidRPr="00D42EA6">
        <w:rPr>
          <w:b/>
          <w:sz w:val="24"/>
          <w:szCs w:val="24"/>
        </w:rPr>
        <w:t>Az önkormányzat</w:t>
      </w:r>
      <w:r>
        <w:rPr>
          <w:b/>
          <w:sz w:val="24"/>
          <w:szCs w:val="24"/>
        </w:rPr>
        <w:t xml:space="preserve"> költségvetési helyzete, nehézségei</w:t>
      </w:r>
      <w:r w:rsidRPr="00D42EA6">
        <w:rPr>
          <w:b/>
          <w:sz w:val="24"/>
          <w:szCs w:val="24"/>
        </w:rPr>
        <w:t>:</w:t>
      </w:r>
    </w:p>
    <w:p w:rsidR="00D42EA6" w:rsidRDefault="00D42EA6" w:rsidP="0033574B">
      <w:pPr>
        <w:rPr>
          <w:sz w:val="24"/>
          <w:szCs w:val="24"/>
        </w:rPr>
      </w:pPr>
    </w:p>
    <w:p w:rsidR="00FF19F5" w:rsidRPr="00FF19F5" w:rsidRDefault="00FF19F5" w:rsidP="0033574B">
      <w:pPr>
        <w:jc w:val="both"/>
        <w:rPr>
          <w:b/>
          <w:sz w:val="24"/>
          <w:szCs w:val="24"/>
        </w:rPr>
      </w:pPr>
      <w:r w:rsidRPr="00FF19F5">
        <w:rPr>
          <w:b/>
          <w:sz w:val="24"/>
          <w:szCs w:val="24"/>
        </w:rPr>
        <w:t>Önkormányzatunk rendkívül nehéz helyzetbe került ebben az évben, melyet az alábbiakkal támasztok alá:</w:t>
      </w:r>
    </w:p>
    <w:p w:rsidR="0033574B" w:rsidRPr="0033574B" w:rsidRDefault="0033574B" w:rsidP="0033574B">
      <w:pPr>
        <w:jc w:val="both"/>
        <w:rPr>
          <w:sz w:val="24"/>
          <w:szCs w:val="24"/>
        </w:rPr>
      </w:pPr>
      <w:r w:rsidRPr="0033574B">
        <w:rPr>
          <w:sz w:val="24"/>
          <w:szCs w:val="24"/>
        </w:rPr>
        <w:lastRenderedPageBreak/>
        <w:t>Tiszavasvári Város Önkormányzat pénzügyi helyzetét jelentősen nehezíti, hogy a 2017. és 2018. évi bérintézkedések (bérminimum és garantált bérminimum növelése, szociális hozzájárulási adó csökkentés) az idei évre halmozottan hatnak, ezek hatása Önkormányzati szinten a kimutatásaink alapján 68.858.753 Ft. Önkormányzatunk 2017. évben 39.826.809 Ft támogatásban részesült a többletkiadások kompenzálására, míg az idei évre erre a célra külön támogatást nem kaptunk.</w:t>
      </w:r>
    </w:p>
    <w:p w:rsidR="0033574B" w:rsidRPr="0033574B" w:rsidRDefault="0033574B" w:rsidP="0033574B">
      <w:pPr>
        <w:jc w:val="both"/>
        <w:rPr>
          <w:sz w:val="24"/>
        </w:rPr>
      </w:pPr>
      <w:r w:rsidRPr="0033574B">
        <w:rPr>
          <w:sz w:val="24"/>
        </w:rPr>
        <w:t>A mostani ismereteink szerint a gyermekétkeztetés 2018. évi támogatása is jelentősen alatta marad a várható kiadásnak, ez előreláthatóan 11.000.000 Ft-ot meghaladó hiányt eredményez.</w:t>
      </w:r>
    </w:p>
    <w:p w:rsidR="0033574B" w:rsidRPr="0033574B" w:rsidRDefault="0033574B" w:rsidP="0033574B">
      <w:pPr>
        <w:jc w:val="both"/>
        <w:rPr>
          <w:sz w:val="24"/>
        </w:rPr>
      </w:pPr>
      <w:r w:rsidRPr="0033574B">
        <w:rPr>
          <w:sz w:val="24"/>
        </w:rPr>
        <w:t xml:space="preserve">A védőnői ellátás, amely kötelező feladat, egy 100 %-ban Önkormányzati tulajdonú nonprofit kft. végzi, éves szinten megközelítőleg 8.700.000 Ft többletkiadást okoz Önkormányzatunknak. Ennek oka a tevékenység alulfinanszírozottsága, így ezt az összeget támogatásként kell biztosítani a kft számára.  </w:t>
      </w:r>
    </w:p>
    <w:p w:rsidR="00FF19F5" w:rsidRDefault="00FF19F5" w:rsidP="0033574B">
      <w:pPr>
        <w:jc w:val="both"/>
        <w:rPr>
          <w:b/>
          <w:sz w:val="24"/>
        </w:rPr>
      </w:pPr>
    </w:p>
    <w:p w:rsidR="0033574B" w:rsidRPr="00D42EA6" w:rsidRDefault="0033574B" w:rsidP="0033574B">
      <w:pPr>
        <w:jc w:val="both"/>
        <w:rPr>
          <w:b/>
          <w:sz w:val="24"/>
        </w:rPr>
      </w:pPr>
      <w:r w:rsidRPr="00D42EA6">
        <w:rPr>
          <w:b/>
          <w:sz w:val="24"/>
        </w:rPr>
        <w:t xml:space="preserve">Az Önkormányzat a saját bevételei (helyi adó, ingatlan eladás stb.) terhére tud fejlesztéseket végrehajtani, ezek a bevételek az eddigi években sem voltak elegendőek a szinten tartásra sem. A fentiek miatt megközelítőleg 90 millió Ft-tal csökkentenünk kell beruházásra, felújításra, karbantartásra fordítható forrásainkat.  </w:t>
      </w:r>
    </w:p>
    <w:p w:rsidR="0033574B" w:rsidRDefault="0033574B" w:rsidP="0033574B">
      <w:pPr>
        <w:jc w:val="both"/>
        <w:rPr>
          <w:b/>
          <w:sz w:val="24"/>
        </w:rPr>
      </w:pPr>
    </w:p>
    <w:p w:rsidR="00124AC9" w:rsidRDefault="00124AC9" w:rsidP="0033574B">
      <w:pPr>
        <w:jc w:val="both"/>
        <w:rPr>
          <w:b/>
          <w:sz w:val="24"/>
        </w:rPr>
      </w:pPr>
      <w:r>
        <w:rPr>
          <w:b/>
          <w:sz w:val="24"/>
        </w:rPr>
        <w:t>A tanuszoda megvalósításához szükséges önerőt kizárólag hitelfelvétellel tudná biztosítani az önkormányzat, melyhez kormányengedély szükséges. Ennek kimenetele</w:t>
      </w:r>
      <w:r w:rsidR="004B06F7">
        <w:rPr>
          <w:b/>
          <w:sz w:val="24"/>
        </w:rPr>
        <w:t xml:space="preserve"> előre nem látható, ezen kívül ilyen mértékű hitel felvétele tovább rontaná az önkormányzat egyébként sem könnyű helyzetét.</w:t>
      </w:r>
    </w:p>
    <w:p w:rsidR="00124AC9" w:rsidRDefault="00124AC9" w:rsidP="0033574B">
      <w:pPr>
        <w:jc w:val="both"/>
        <w:rPr>
          <w:b/>
          <w:sz w:val="24"/>
        </w:rPr>
      </w:pPr>
      <w:r>
        <w:rPr>
          <w:b/>
          <w:sz w:val="24"/>
        </w:rPr>
        <w:t xml:space="preserve">Felmerült továbbá ezzel kapcsolatban egy további probléma. Alapvetően az ingatlan közművesítése megvalósítható az ingyenes tulajdonba adást megelőzően. Viszont a belvízmentesítésre magánál a beruházásnál kerülne sor. </w:t>
      </w:r>
      <w:r w:rsidR="00CD0D40">
        <w:rPr>
          <w:b/>
          <w:sz w:val="24"/>
        </w:rPr>
        <w:t>Azaz</w:t>
      </w:r>
      <w:r>
        <w:rPr>
          <w:b/>
          <w:sz w:val="24"/>
        </w:rPr>
        <w:t xml:space="preserve"> nem önkormányzati ingatlanon, nem önkormányzati beruházást finanszírozna az önkormányzat hitelből.</w:t>
      </w:r>
      <w:r w:rsidR="004B06F7">
        <w:rPr>
          <w:b/>
          <w:sz w:val="24"/>
        </w:rPr>
        <w:t xml:space="preserve"> Ez működéi hitelnek minősül, ami még bizonytalanabbá teszi a kormányengedély megszerzését.</w:t>
      </w:r>
    </w:p>
    <w:p w:rsidR="009B7ED8" w:rsidRDefault="009B7ED8" w:rsidP="0033574B">
      <w:pPr>
        <w:jc w:val="both"/>
        <w:rPr>
          <w:sz w:val="24"/>
        </w:rPr>
      </w:pPr>
    </w:p>
    <w:p w:rsidR="00124AC9" w:rsidRPr="004B06F7" w:rsidRDefault="00124AC9" w:rsidP="0033574B">
      <w:pPr>
        <w:jc w:val="both"/>
        <w:rPr>
          <w:b/>
          <w:sz w:val="24"/>
        </w:rPr>
      </w:pPr>
      <w:r>
        <w:rPr>
          <w:sz w:val="24"/>
        </w:rPr>
        <w:t xml:space="preserve">A tanuszoda Tiszavasváriban történő megvalósítása </w:t>
      </w:r>
      <w:r w:rsidRPr="004B06F7">
        <w:rPr>
          <w:b/>
          <w:sz w:val="24"/>
        </w:rPr>
        <w:t>elsődleges érdekünk</w:t>
      </w:r>
      <w:r>
        <w:rPr>
          <w:sz w:val="24"/>
        </w:rPr>
        <w:t xml:space="preserve">. </w:t>
      </w:r>
      <w:r w:rsidRPr="004B06F7">
        <w:rPr>
          <w:b/>
          <w:sz w:val="24"/>
        </w:rPr>
        <w:t>Kiemelt figyelmet kívánok fordítani</w:t>
      </w:r>
      <w:r>
        <w:rPr>
          <w:sz w:val="24"/>
        </w:rPr>
        <w:t xml:space="preserve"> a projekt megvalósítására. </w:t>
      </w:r>
      <w:r w:rsidRPr="004B06F7">
        <w:rPr>
          <w:b/>
          <w:sz w:val="24"/>
        </w:rPr>
        <w:t xml:space="preserve">Fenti nehézségek okán azonban szíves segítségüket kérem az önerő biztosításához. </w:t>
      </w:r>
    </w:p>
    <w:p w:rsidR="00124AC9" w:rsidRDefault="00124AC9" w:rsidP="0033574B">
      <w:pPr>
        <w:jc w:val="both"/>
        <w:rPr>
          <w:sz w:val="24"/>
        </w:rPr>
      </w:pPr>
    </w:p>
    <w:p w:rsidR="00124AC9" w:rsidRDefault="004B06F7" w:rsidP="0033574B">
      <w:pPr>
        <w:jc w:val="both"/>
        <w:rPr>
          <w:sz w:val="24"/>
        </w:rPr>
      </w:pPr>
      <w:r>
        <w:rPr>
          <w:sz w:val="24"/>
        </w:rPr>
        <w:t>Közreműködő segítségüket előre is köszönöm!</w:t>
      </w:r>
    </w:p>
    <w:p w:rsidR="009B7ED8" w:rsidRDefault="009B7ED8" w:rsidP="0033574B">
      <w:pPr>
        <w:jc w:val="both"/>
        <w:rPr>
          <w:sz w:val="24"/>
        </w:rPr>
      </w:pPr>
    </w:p>
    <w:p w:rsidR="009B7ED8" w:rsidRDefault="009B7ED8" w:rsidP="0033574B">
      <w:pPr>
        <w:jc w:val="both"/>
        <w:rPr>
          <w:sz w:val="24"/>
        </w:rPr>
      </w:pPr>
    </w:p>
    <w:p w:rsidR="0033574B" w:rsidRDefault="004B06F7" w:rsidP="0033574B">
      <w:pPr>
        <w:jc w:val="both"/>
        <w:rPr>
          <w:sz w:val="24"/>
        </w:rPr>
      </w:pPr>
      <w:r>
        <w:rPr>
          <w:sz w:val="24"/>
        </w:rPr>
        <w:t>Tiszavasvári, 2018. november 20</w:t>
      </w:r>
      <w:r w:rsidR="0033574B">
        <w:rPr>
          <w:sz w:val="24"/>
        </w:rPr>
        <w:t>.</w:t>
      </w:r>
    </w:p>
    <w:p w:rsidR="0033574B" w:rsidRDefault="0033574B" w:rsidP="0033574B">
      <w:pPr>
        <w:jc w:val="both"/>
        <w:rPr>
          <w:sz w:val="24"/>
        </w:rPr>
      </w:pPr>
    </w:p>
    <w:p w:rsidR="004B06F7" w:rsidRDefault="004B06F7" w:rsidP="0033574B">
      <w:pPr>
        <w:jc w:val="both"/>
        <w:rPr>
          <w:sz w:val="24"/>
        </w:rPr>
      </w:pPr>
    </w:p>
    <w:p w:rsidR="004B06F7" w:rsidRDefault="004B06F7" w:rsidP="0033574B">
      <w:pPr>
        <w:jc w:val="both"/>
        <w:rPr>
          <w:sz w:val="24"/>
        </w:rPr>
      </w:pPr>
    </w:p>
    <w:p w:rsidR="004B06F7" w:rsidRDefault="004B06F7" w:rsidP="0033574B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Tisztelettel:</w:t>
      </w:r>
    </w:p>
    <w:p w:rsidR="004B06F7" w:rsidRDefault="004B06F7" w:rsidP="0033574B">
      <w:pPr>
        <w:jc w:val="both"/>
        <w:rPr>
          <w:sz w:val="24"/>
        </w:rPr>
      </w:pPr>
      <w:r>
        <w:rPr>
          <w:sz w:val="24"/>
        </w:rPr>
        <w:t xml:space="preserve">   </w:t>
      </w:r>
    </w:p>
    <w:p w:rsidR="004B06F7" w:rsidRDefault="004B06F7" w:rsidP="0033574B">
      <w:pPr>
        <w:jc w:val="both"/>
        <w:rPr>
          <w:sz w:val="24"/>
        </w:rPr>
      </w:pPr>
    </w:p>
    <w:p w:rsidR="0033574B" w:rsidRPr="0033574B" w:rsidRDefault="0033574B" w:rsidP="0033574B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</w:t>
      </w:r>
      <w:r w:rsidRPr="0033574B">
        <w:rPr>
          <w:b/>
          <w:sz w:val="24"/>
        </w:rPr>
        <w:t>Szőke Zoltán</w:t>
      </w:r>
    </w:p>
    <w:p w:rsidR="0033574B" w:rsidRPr="0033574B" w:rsidRDefault="0033574B" w:rsidP="0033574B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</w:t>
      </w:r>
      <w:proofErr w:type="gramStart"/>
      <w:r w:rsidRPr="0033574B">
        <w:rPr>
          <w:b/>
          <w:sz w:val="24"/>
        </w:rPr>
        <w:t>polgármester</w:t>
      </w:r>
      <w:proofErr w:type="gramEnd"/>
    </w:p>
    <w:p w:rsidR="0033574B" w:rsidRPr="0033574B" w:rsidRDefault="0033574B" w:rsidP="0033574B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33574B" w:rsidRPr="000307F6" w:rsidRDefault="0033574B" w:rsidP="0033574B">
      <w:pPr>
        <w:rPr>
          <w:sz w:val="22"/>
          <w:szCs w:val="22"/>
        </w:rPr>
      </w:pPr>
    </w:p>
    <w:p w:rsidR="0033574B" w:rsidRPr="000307F6" w:rsidRDefault="0033574B" w:rsidP="0033574B">
      <w:pPr>
        <w:rPr>
          <w:b/>
          <w:sz w:val="22"/>
          <w:szCs w:val="22"/>
        </w:rPr>
      </w:pPr>
    </w:p>
    <w:sectPr w:rsidR="0033574B" w:rsidRPr="000307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CEB" w:rsidRDefault="003B4CEB" w:rsidP="0095377D">
      <w:r>
        <w:separator/>
      </w:r>
    </w:p>
  </w:endnote>
  <w:endnote w:type="continuationSeparator" w:id="0">
    <w:p w:rsidR="003B4CEB" w:rsidRDefault="003B4CEB" w:rsidP="00953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551187"/>
      <w:docPartObj>
        <w:docPartGallery w:val="Page Numbers (Bottom of Page)"/>
        <w:docPartUnique/>
      </w:docPartObj>
    </w:sdtPr>
    <w:sdtContent>
      <w:p w:rsidR="0095377D" w:rsidRDefault="009537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E93">
          <w:rPr>
            <w:noProof/>
          </w:rPr>
          <w:t>4</w:t>
        </w:r>
        <w:r>
          <w:fldChar w:fldCharType="end"/>
        </w:r>
      </w:p>
    </w:sdtContent>
  </w:sdt>
  <w:p w:rsidR="0095377D" w:rsidRDefault="0095377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CEB" w:rsidRDefault="003B4CEB" w:rsidP="0095377D">
      <w:r>
        <w:separator/>
      </w:r>
    </w:p>
  </w:footnote>
  <w:footnote w:type="continuationSeparator" w:id="0">
    <w:p w:rsidR="003B4CEB" w:rsidRDefault="003B4CEB" w:rsidP="00953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593C"/>
    <w:multiLevelType w:val="hybridMultilevel"/>
    <w:tmpl w:val="6D4C91D2"/>
    <w:lvl w:ilvl="0" w:tplc="180E568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73CDB"/>
    <w:multiLevelType w:val="hybridMultilevel"/>
    <w:tmpl w:val="FB6CF974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C33098"/>
    <w:multiLevelType w:val="hybridMultilevel"/>
    <w:tmpl w:val="77E0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21650"/>
    <w:multiLevelType w:val="hybridMultilevel"/>
    <w:tmpl w:val="CFC437A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4B"/>
    <w:rsid w:val="00025AAA"/>
    <w:rsid w:val="00124AC9"/>
    <w:rsid w:val="00235DF0"/>
    <w:rsid w:val="0032363E"/>
    <w:rsid w:val="0033574B"/>
    <w:rsid w:val="003B4CEB"/>
    <w:rsid w:val="0049512D"/>
    <w:rsid w:val="004B06F7"/>
    <w:rsid w:val="004B4C46"/>
    <w:rsid w:val="005A1FC9"/>
    <w:rsid w:val="005D25AC"/>
    <w:rsid w:val="00610370"/>
    <w:rsid w:val="007006AA"/>
    <w:rsid w:val="007D68C6"/>
    <w:rsid w:val="0080459C"/>
    <w:rsid w:val="0081617A"/>
    <w:rsid w:val="00915CD0"/>
    <w:rsid w:val="0095377D"/>
    <w:rsid w:val="009A16C5"/>
    <w:rsid w:val="009B7ED8"/>
    <w:rsid w:val="009E55BD"/>
    <w:rsid w:val="00AB0E93"/>
    <w:rsid w:val="00BD75BE"/>
    <w:rsid w:val="00C6545A"/>
    <w:rsid w:val="00CD0D40"/>
    <w:rsid w:val="00D42EA6"/>
    <w:rsid w:val="00DC6A0F"/>
    <w:rsid w:val="00E620FF"/>
    <w:rsid w:val="00E74A3F"/>
    <w:rsid w:val="00E91610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5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33574B"/>
    <w:rPr>
      <w:color w:val="0000FF"/>
      <w:u w:val="single"/>
    </w:rPr>
  </w:style>
  <w:style w:type="paragraph" w:styleId="Nincstrkz">
    <w:name w:val="No Spacing"/>
    <w:uiPriority w:val="1"/>
    <w:qFormat/>
    <w:rsid w:val="00915CD0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42EA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5377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5377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5377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377D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5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33574B"/>
    <w:rPr>
      <w:color w:val="0000FF"/>
      <w:u w:val="single"/>
    </w:rPr>
  </w:style>
  <w:style w:type="paragraph" w:styleId="Nincstrkz">
    <w:name w:val="No Spacing"/>
    <w:uiPriority w:val="1"/>
    <w:qFormat/>
    <w:rsid w:val="00915CD0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42EA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5377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5377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5377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377D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9DA5D-6A60-4C5A-9E90-467355D6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1019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Tóth Marianna</dc:creator>
  <cp:lastModifiedBy>Badics Ildikó</cp:lastModifiedBy>
  <cp:revision>68</cp:revision>
  <dcterms:created xsi:type="dcterms:W3CDTF">2018-11-14T15:16:00Z</dcterms:created>
  <dcterms:modified xsi:type="dcterms:W3CDTF">2018-11-20T11:34:00Z</dcterms:modified>
</cp:coreProperties>
</file>