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0B4" w:rsidRPr="008C483A" w:rsidRDefault="00DC676D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E60B4"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BE60B4" w:rsidRPr="002C3EAA" w:rsidRDefault="00BE60B4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BE60B4" w:rsidRDefault="00BE60B4" w:rsidP="00BE60B4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BE60B4" w:rsidRPr="00652634" w:rsidRDefault="00BE60B4" w:rsidP="00BE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8A7089">
        <w:rPr>
          <w:rFonts w:ascii="Times New Roman" w:hAnsi="Times New Roman" w:cs="Times New Roman"/>
          <w:sz w:val="24"/>
          <w:szCs w:val="24"/>
        </w:rPr>
        <w:t>1178-21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501E51" w:rsidRDefault="00501E51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95" w:rsidRPr="00D8124B" w:rsidRDefault="00D8124B" w:rsidP="00BE60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8A7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E60B4" w:rsidRPr="00D81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  <w:r w:rsidR="009407DA" w:rsidRPr="00D81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(V.28.)</w:t>
      </w:r>
    </w:p>
    <w:p w:rsidR="00BE60B4" w:rsidRDefault="00235095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0B4" w:rsidRPr="00F12CED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CED">
        <w:rPr>
          <w:rFonts w:ascii="Times New Roman" w:hAnsi="Times New Roman" w:cs="Times New Roman"/>
          <w:b/>
          <w:sz w:val="28"/>
          <w:szCs w:val="28"/>
          <w:u w:val="single"/>
        </w:rPr>
        <w:t>HATÁROZAT</w:t>
      </w:r>
    </w:p>
    <w:p w:rsidR="005F365E" w:rsidRDefault="005F4D8F" w:rsidP="005F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B4"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="00BE60B4"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F71F7" w:rsidRDefault="008F71F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65E" w:rsidRDefault="00255C4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D151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A7089">
        <w:rPr>
          <w:rFonts w:ascii="Times New Roman" w:hAnsi="Times New Roman" w:cs="Times New Roman"/>
          <w:b/>
          <w:sz w:val="24"/>
          <w:szCs w:val="24"/>
        </w:rPr>
        <w:t xml:space="preserve">         az „Év Közalkalmazottja</w:t>
      </w:r>
      <w:r w:rsidR="007D1518">
        <w:rPr>
          <w:rFonts w:ascii="Times New Roman" w:hAnsi="Times New Roman" w:cs="Times New Roman"/>
          <w:b/>
          <w:sz w:val="24"/>
          <w:szCs w:val="24"/>
        </w:rPr>
        <w:t>” Kitüntető Díj</w:t>
      </w:r>
      <w:r>
        <w:rPr>
          <w:rFonts w:ascii="Times New Roman" w:hAnsi="Times New Roman" w:cs="Times New Roman"/>
          <w:b/>
          <w:sz w:val="24"/>
          <w:szCs w:val="24"/>
        </w:rPr>
        <w:t xml:space="preserve"> odaítéléséről</w:t>
      </w:r>
    </w:p>
    <w:p w:rsidR="00255C47" w:rsidRDefault="00255C4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C47" w:rsidRDefault="00255C47" w:rsidP="005F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B4" w:rsidRDefault="00BE60B4" w:rsidP="00D96E1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</w:t>
      </w:r>
      <w:r w:rsidR="000D2185">
        <w:rPr>
          <w:rFonts w:ascii="Times New Roman" w:hAnsi="Times New Roman" w:cs="Times New Roman"/>
          <w:sz w:val="24"/>
          <w:szCs w:val="24"/>
        </w:rPr>
        <w:t xml:space="preserve"> eljárva</w:t>
      </w:r>
      <w:r w:rsidRPr="0001085B">
        <w:rPr>
          <w:rFonts w:ascii="Times New Roman" w:hAnsi="Times New Roman" w:cs="Times New Roman"/>
          <w:sz w:val="24"/>
          <w:szCs w:val="24"/>
        </w:rPr>
        <w:t xml:space="preserve">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4E7FC3" w:rsidRDefault="004E7FC3" w:rsidP="004E7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55C47" w:rsidRPr="001549AA" w:rsidRDefault="001135D0" w:rsidP="00E70412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392D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 „Év Közalkalmazottja” Kitüntető Díjat</w:t>
      </w:r>
      <w:r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2020. évben </w:t>
      </w:r>
      <w:r w:rsidR="00392D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Dóka Tündének </w:t>
      </w:r>
      <w:proofErr w:type="gramStart"/>
      <w:r w:rsidR="00392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="005B0D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….</w:t>
      </w:r>
      <w:proofErr w:type="gramEnd"/>
      <w:r w:rsidR="005B0D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92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B0D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</w:t>
      </w:r>
      <w:proofErr w:type="gramStart"/>
      <w:r w:rsidR="005B0D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…….</w:t>
      </w:r>
      <w:proofErr w:type="gramEnd"/>
      <w:r w:rsidR="005B0D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92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="005B0D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………….</w:t>
      </w:r>
      <w:r w:rsidR="00392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1549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70412"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adományozom.</w:t>
      </w:r>
    </w:p>
    <w:p w:rsidR="009A765C" w:rsidRPr="001549AA" w:rsidRDefault="009A765C" w:rsidP="009A765C">
      <w:pPr>
        <w:pStyle w:val="Listaszerbekezds"/>
        <w:spacing w:after="0" w:line="300" w:lineRule="exact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55C47" w:rsidRPr="00941C7B" w:rsidRDefault="009A765C" w:rsidP="00941C7B">
      <w:pPr>
        <w:pStyle w:val="Listaszerbekezds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549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döntésnek megfelelően gondoskodom </w:t>
      </w:r>
      <w:r w:rsidRPr="001549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kitüntetés előkészítéséről, valami</w:t>
      </w:r>
      <w:r w:rsidR="00392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nt az azzal járó emléklap, </w:t>
      </w:r>
      <w:r w:rsidRPr="001549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plakett és </w:t>
      </w:r>
      <w:r w:rsidR="003E21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 w:rsidR="00392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árgyjutalom átadásáról, melyre 2020. július 1</w:t>
      </w:r>
      <w:r w:rsidR="003E21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-én</w:t>
      </w:r>
      <w:r w:rsidR="00392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 S</w:t>
      </w:r>
      <w:r w:rsidR="00EF620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emmelweis-n</w:t>
      </w:r>
      <w:r w:rsidR="00392D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apon</w:t>
      </w:r>
      <w:r w:rsidR="003E21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kerül sor.</w:t>
      </w:r>
    </w:p>
    <w:p w:rsidR="00532B94" w:rsidRPr="00D95647" w:rsidRDefault="00532B94" w:rsidP="001D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E6" w:rsidRPr="00941C7B" w:rsidRDefault="00941C7B" w:rsidP="001D63E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3E6" w:rsidRPr="00941C7B">
        <w:rPr>
          <w:rFonts w:ascii="Times New Roman" w:hAnsi="Times New Roman" w:cs="Times New Roman"/>
          <w:b/>
          <w:sz w:val="28"/>
          <w:szCs w:val="28"/>
        </w:rPr>
        <w:t>INDOKOLÁS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171" w:rsidRDefault="00831244" w:rsidP="009466F3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312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az önkormányzat által adományozható kitüntetésekről és díjakról, valamint az önkormányzat címerének és zászlajának használatáról szóló 34/2010. (XII.17.) önkormányzati rendeletében (továbbiakban: Rendelet) foglalt hatáskörében eljárva </w:t>
      </w:r>
      <w:r w:rsidR="008F6B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két</w:t>
      </w:r>
      <w:r w:rsidRPr="008312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évente </w:t>
      </w:r>
      <w:r w:rsidR="008F6B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„Év Közalkalmazottja” Kitüntető Díjat </w:t>
      </w:r>
      <w:r w:rsidRPr="008312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adományozhat.</w:t>
      </w:r>
    </w:p>
    <w:p w:rsidR="00831244" w:rsidRDefault="00831244" w:rsidP="009466F3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F6B39" w:rsidRDefault="00E36902" w:rsidP="005F41E6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369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Képviselő-testület </w:t>
      </w:r>
      <w:r w:rsidR="005F41E6" w:rsidRPr="005F41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az Önkormányzat intézményeiben dolgozó nem pedagógus közalkalmazott részére, aki hosszú időn át végzett színvonalas munkát, az „Év Közalkalmazottja” </w:t>
      </w:r>
      <w:r w:rsidR="005F41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Kitüntető Díjat adományozhatja. </w:t>
      </w:r>
      <w:r w:rsidR="005F41E6" w:rsidRPr="005F41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kitüntető díjra a javaslatokat az adományozás évében</w:t>
      </w:r>
      <w:r w:rsidR="005F41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április 30-ig kell benyújtani. </w:t>
      </w:r>
      <w:r w:rsidR="005F41E6" w:rsidRPr="005F41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Az “Év Közalkalmazottja” Kitüntető Díj átadására 2 évente egy alkalommal - oktatási intézményben dolgozó munkavállaló esetén az intézmények tanévzáró vagy ballagási ünnepségén, egyéb munkavállalók esetében július </w:t>
      </w:r>
      <w:r w:rsidR="005F41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     </w:t>
      </w:r>
      <w:r w:rsidR="005F41E6" w:rsidRPr="005F41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1-jén, a Köztisztviselők Napján és a Semmelweis Napon - kerül sor. A díj az Önkormányzat intézményeiben dolgozó egy fő nem pedagógus közalkalmazott részére adományozható. </w:t>
      </w:r>
      <w:r w:rsidR="00F90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     </w:t>
      </w:r>
      <w:r w:rsidR="005F41E6" w:rsidRPr="005F41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Díjat legkorábban 2012-ben lehet odaítélni.</w:t>
      </w:r>
      <w:r w:rsidR="00C52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kitüntető díjjal emléklap, plakett és tárgyjutalom jár, melynek bruttó összege a mindenkori köztisztviselői illetményalap. </w:t>
      </w:r>
    </w:p>
    <w:p w:rsidR="008F6B39" w:rsidRDefault="008F6B39" w:rsidP="009466F3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0E117F" w:rsidRDefault="00520A20" w:rsidP="00CC4097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7E2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lastRenderedPageBreak/>
        <w:t>A</w:t>
      </w:r>
      <w:r w:rsidR="007B34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z „Év Közalkalmazottja” Kitüntető Díjra </w:t>
      </w:r>
      <w:r w:rsidRPr="003510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egy javaslat érkezett</w:t>
      </w:r>
      <w:r w:rsidRPr="007E2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határidőn belül, melyben az alábbi személyt jelölték meg: </w:t>
      </w:r>
      <w:r w:rsidR="007B34F3" w:rsidRPr="007B34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Dóka </w:t>
      </w:r>
      <w:proofErr w:type="gramStart"/>
      <w:r w:rsidR="007B34F3" w:rsidRPr="007B34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Tünde</w:t>
      </w:r>
      <w:r w:rsidR="007B34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,</w:t>
      </w:r>
      <w:r w:rsidR="005B0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…</w:t>
      </w:r>
      <w:proofErr w:type="gramEnd"/>
      <w:r w:rsidR="005B0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………….</w:t>
      </w:r>
      <w:r w:rsidR="00BE1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, </w:t>
      </w:r>
      <w:r w:rsidR="005B0D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…………………</w:t>
      </w:r>
      <w:r w:rsidR="00BE1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</w:t>
      </w:r>
      <w:r w:rsidRPr="007E2E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szám alatti lakos</w:t>
      </w:r>
      <w:r w:rsidR="00BE1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, aki a </w:t>
      </w:r>
      <w:proofErr w:type="spellStart"/>
      <w:r w:rsidR="00BE1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Kornisné</w:t>
      </w:r>
      <w:proofErr w:type="spellEnd"/>
      <w:r w:rsidR="00BE1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="00BE1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Liptay</w:t>
      </w:r>
      <w:proofErr w:type="spellEnd"/>
      <w:r w:rsidR="00BE1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Elza Szociális és Gyermekjóléti Központ vezető ápolója. </w:t>
      </w:r>
    </w:p>
    <w:p w:rsidR="00183675" w:rsidRDefault="00362DE4" w:rsidP="00CC4097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kitüntetési javaslat</w:t>
      </w:r>
      <w:r w:rsidR="00520A20" w:rsidRPr="009076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indokolása szerint </w:t>
      </w:r>
      <w:r w:rsidR="00E80C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jelölt személy </w:t>
      </w:r>
      <w:r w:rsidR="00AF4E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2013. március 5. napja óta látja el a vezető ápolói feladatokat. </w:t>
      </w:r>
      <w:r w:rsidR="001E4E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Hosszú évek óta jelen van az egészségügy területén és folyamatos </w:t>
      </w:r>
      <w:r w:rsidR="00F108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szakmai tudásának egyre magasabb szintre emelésével és a számos szakmai területen szerzett tapasztalatainak köszönhetően nagyon magas tudással rendelkező szakember vált belőle. </w:t>
      </w:r>
      <w:r w:rsidR="00D715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Az intézményben a szociális szemlélet megtartásával mindig törekedett az egyre magasabb ápolási szint kialakítására. </w:t>
      </w:r>
      <w:r w:rsidR="00E769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Mindig fontosnak tartotta a naprakész tudás megteremtését, folyamatosan azon dolgozott, hogy minél jobban támogassa munkatársait szakmai továbbfejlődésükben. </w:t>
      </w:r>
      <w:r w:rsidR="00BC47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Az ápolói szakma elhivatott képviselőjeként fontos </w:t>
      </w:r>
      <w:r w:rsidR="008F0A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volt </w:t>
      </w:r>
      <w:r w:rsidR="00BC47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számára az utánpótlás biztosítása is, ezért sokat munkálkodott azon, hogy az intézmény gya</w:t>
      </w:r>
      <w:r w:rsidR="00DA28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korlóhelyként is működhessen, </w:t>
      </w:r>
      <w:r w:rsidR="00BC47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ezáltal hozzájáruljon a jó szakemberek képzéséhez, Tiszavasváriban tartásához. </w:t>
      </w:r>
      <w:r w:rsidR="00762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Jó vezetői attitűdjét mutatja, hogy nagyon sok munkatársa számít a szakmai tudásán túl a segítőkész személyiségére is. Közvetlenségével, mosolygósságával, kedvességével nagyon hamar közel tudott kerülni az intézményben élő ellátottakhoz. </w:t>
      </w:r>
      <w:r w:rsidR="00E00C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Sokan személyes ismerősként fordulnak hozzá és tisztelik meg bizalmukkal, mert gondjaik megoldását benne látják. Mind a szakmai szempontok, mind az emberi oldala alkalmassá teszik őt arra, hogy az elismerő kit</w:t>
      </w:r>
      <w:r w:rsidR="007224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üntetéssel megköszönjék </w:t>
      </w:r>
      <w:r w:rsidR="00E00C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áldozatkész, szeretetteljes munkáját. </w:t>
      </w:r>
    </w:p>
    <w:p w:rsidR="00183675" w:rsidRDefault="00183675" w:rsidP="00CC4097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1D63E6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9A765C" w:rsidRDefault="009A765C" w:rsidP="00CC4097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3E6" w:rsidRPr="0026365D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D63E6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E6" w:rsidRPr="007F7D59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3E6" w:rsidRDefault="001D63E6" w:rsidP="00CC409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50E" w:rsidRPr="00ED150E" w:rsidRDefault="009A765C" w:rsidP="00CC4097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2020. május 28. </w:t>
      </w:r>
    </w:p>
    <w:p w:rsidR="00290BAE" w:rsidRDefault="00ED150E" w:rsidP="00CC4097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65C" w:rsidRDefault="009A765C">
      <w:pPr>
        <w:rPr>
          <w:rFonts w:ascii="Times New Roman" w:hAnsi="Times New Roman" w:cs="Times New Roman"/>
          <w:b/>
          <w:sz w:val="24"/>
          <w:szCs w:val="24"/>
        </w:rPr>
      </w:pPr>
    </w:p>
    <w:p w:rsidR="00ED150E" w:rsidRPr="00ED150E" w:rsidRDefault="00150F7B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ED1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B3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D150E"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ED150E" w:rsidRDefault="00ED150E" w:rsidP="00150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50F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B3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ED150E" w:rsidRPr="00ED150E" w:rsidRDefault="00ED150E" w:rsidP="00150F7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</w:p>
    <w:p w:rsidR="004A40F5" w:rsidRDefault="004A40F5" w:rsidP="00ED1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63C5" w:rsidRDefault="00E363C5" w:rsidP="00133A53">
      <w:pPr>
        <w:spacing w:after="0" w:line="240" w:lineRule="auto"/>
      </w:pPr>
      <w:r>
        <w:separator/>
      </w:r>
    </w:p>
  </w:endnote>
  <w:endnote w:type="continuationSeparator" w:id="0">
    <w:p w:rsidR="00E363C5" w:rsidRDefault="00E363C5" w:rsidP="0013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133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89">
          <w:rPr>
            <w:noProof/>
          </w:rPr>
          <w:t>1</w:t>
        </w:r>
        <w:r>
          <w:fldChar w:fldCharType="end"/>
        </w:r>
      </w:p>
    </w:sdtContent>
  </w:sdt>
  <w:p w:rsidR="00133A53" w:rsidRDefault="00133A5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63C5" w:rsidRDefault="00E363C5" w:rsidP="00133A53">
      <w:pPr>
        <w:spacing w:after="0" w:line="240" w:lineRule="auto"/>
      </w:pPr>
      <w:r>
        <w:separator/>
      </w:r>
    </w:p>
  </w:footnote>
  <w:footnote w:type="continuationSeparator" w:id="0">
    <w:p w:rsidR="00E363C5" w:rsidRDefault="00E363C5" w:rsidP="0013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A53" w:rsidRDefault="00133A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740C4"/>
    <w:multiLevelType w:val="hybridMultilevel"/>
    <w:tmpl w:val="B2E460EA"/>
    <w:lvl w:ilvl="0" w:tplc="A57C1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A9D"/>
    <w:multiLevelType w:val="hybridMultilevel"/>
    <w:tmpl w:val="2ADE12CC"/>
    <w:lvl w:ilvl="0" w:tplc="44EEB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0AC9"/>
    <w:multiLevelType w:val="hybridMultilevel"/>
    <w:tmpl w:val="2D744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0B4"/>
    <w:rsid w:val="00003F6D"/>
    <w:rsid w:val="000368DC"/>
    <w:rsid w:val="000A4003"/>
    <w:rsid w:val="000D2185"/>
    <w:rsid w:val="000E117F"/>
    <w:rsid w:val="000E699E"/>
    <w:rsid w:val="001135D0"/>
    <w:rsid w:val="00133A53"/>
    <w:rsid w:val="00150F7B"/>
    <w:rsid w:val="001549AA"/>
    <w:rsid w:val="001603C7"/>
    <w:rsid w:val="00167F24"/>
    <w:rsid w:val="00183675"/>
    <w:rsid w:val="001A343D"/>
    <w:rsid w:val="001B4090"/>
    <w:rsid w:val="001D63E6"/>
    <w:rsid w:val="001E1496"/>
    <w:rsid w:val="001E4EC5"/>
    <w:rsid w:val="001E7BB7"/>
    <w:rsid w:val="00202B6F"/>
    <w:rsid w:val="002039B6"/>
    <w:rsid w:val="00220445"/>
    <w:rsid w:val="00221986"/>
    <w:rsid w:val="00235095"/>
    <w:rsid w:val="00241B71"/>
    <w:rsid w:val="00243364"/>
    <w:rsid w:val="00255C47"/>
    <w:rsid w:val="0026365D"/>
    <w:rsid w:val="002826DB"/>
    <w:rsid w:val="00285ACC"/>
    <w:rsid w:val="00290BAE"/>
    <w:rsid w:val="00293F9B"/>
    <w:rsid w:val="002D70AE"/>
    <w:rsid w:val="00317C43"/>
    <w:rsid w:val="003309BB"/>
    <w:rsid w:val="003510E8"/>
    <w:rsid w:val="00362DE4"/>
    <w:rsid w:val="00371851"/>
    <w:rsid w:val="00374311"/>
    <w:rsid w:val="0037754E"/>
    <w:rsid w:val="00387CF7"/>
    <w:rsid w:val="00392DDB"/>
    <w:rsid w:val="003B430F"/>
    <w:rsid w:val="003D31D1"/>
    <w:rsid w:val="003E21C4"/>
    <w:rsid w:val="003F1E25"/>
    <w:rsid w:val="003F2179"/>
    <w:rsid w:val="00420E1C"/>
    <w:rsid w:val="00431EB6"/>
    <w:rsid w:val="0044555C"/>
    <w:rsid w:val="004729C1"/>
    <w:rsid w:val="0047469D"/>
    <w:rsid w:val="004A40F5"/>
    <w:rsid w:val="004D424B"/>
    <w:rsid w:val="004E131D"/>
    <w:rsid w:val="004E7FC3"/>
    <w:rsid w:val="004F1E39"/>
    <w:rsid w:val="00501E51"/>
    <w:rsid w:val="00504A8C"/>
    <w:rsid w:val="00520A20"/>
    <w:rsid w:val="00521DE9"/>
    <w:rsid w:val="00525AB7"/>
    <w:rsid w:val="00532B94"/>
    <w:rsid w:val="0054393B"/>
    <w:rsid w:val="005511C3"/>
    <w:rsid w:val="0055756F"/>
    <w:rsid w:val="00577E0E"/>
    <w:rsid w:val="005B0DE0"/>
    <w:rsid w:val="005C53CA"/>
    <w:rsid w:val="005C7AED"/>
    <w:rsid w:val="005D0E27"/>
    <w:rsid w:val="005D6ACA"/>
    <w:rsid w:val="005F365E"/>
    <w:rsid w:val="005F41E6"/>
    <w:rsid w:val="005F4D8F"/>
    <w:rsid w:val="00601860"/>
    <w:rsid w:val="00606AF4"/>
    <w:rsid w:val="00621DBB"/>
    <w:rsid w:val="0063025E"/>
    <w:rsid w:val="006310F5"/>
    <w:rsid w:val="006339EF"/>
    <w:rsid w:val="006539C6"/>
    <w:rsid w:val="00656C84"/>
    <w:rsid w:val="00686878"/>
    <w:rsid w:val="00691342"/>
    <w:rsid w:val="00694F47"/>
    <w:rsid w:val="006E1E74"/>
    <w:rsid w:val="00722448"/>
    <w:rsid w:val="0072464D"/>
    <w:rsid w:val="00747B19"/>
    <w:rsid w:val="00754DA6"/>
    <w:rsid w:val="00762553"/>
    <w:rsid w:val="007639B9"/>
    <w:rsid w:val="00766CEF"/>
    <w:rsid w:val="00796BEE"/>
    <w:rsid w:val="007B34F3"/>
    <w:rsid w:val="007B5523"/>
    <w:rsid w:val="007D1518"/>
    <w:rsid w:val="007D5821"/>
    <w:rsid w:val="007E2E3F"/>
    <w:rsid w:val="00813E69"/>
    <w:rsid w:val="00831244"/>
    <w:rsid w:val="00847FE5"/>
    <w:rsid w:val="008575B0"/>
    <w:rsid w:val="0086108B"/>
    <w:rsid w:val="0087748C"/>
    <w:rsid w:val="008939DA"/>
    <w:rsid w:val="008A2BC8"/>
    <w:rsid w:val="008A7089"/>
    <w:rsid w:val="008C4CF2"/>
    <w:rsid w:val="008F0A8F"/>
    <w:rsid w:val="008F6B39"/>
    <w:rsid w:val="008F71F7"/>
    <w:rsid w:val="009076C0"/>
    <w:rsid w:val="009161F8"/>
    <w:rsid w:val="009407DA"/>
    <w:rsid w:val="00941C7B"/>
    <w:rsid w:val="009466F3"/>
    <w:rsid w:val="009571B1"/>
    <w:rsid w:val="009607A7"/>
    <w:rsid w:val="0096126B"/>
    <w:rsid w:val="009A765C"/>
    <w:rsid w:val="009C6FD3"/>
    <w:rsid w:val="009E346C"/>
    <w:rsid w:val="00A04FE6"/>
    <w:rsid w:val="00A14CD3"/>
    <w:rsid w:val="00A449BE"/>
    <w:rsid w:val="00A45F24"/>
    <w:rsid w:val="00A5711C"/>
    <w:rsid w:val="00A7025E"/>
    <w:rsid w:val="00A8202A"/>
    <w:rsid w:val="00A83D2A"/>
    <w:rsid w:val="00A96C7F"/>
    <w:rsid w:val="00AB2596"/>
    <w:rsid w:val="00AE5233"/>
    <w:rsid w:val="00AF4ED0"/>
    <w:rsid w:val="00B02D0C"/>
    <w:rsid w:val="00B145A7"/>
    <w:rsid w:val="00B17BE7"/>
    <w:rsid w:val="00B25DA3"/>
    <w:rsid w:val="00B41306"/>
    <w:rsid w:val="00B448A2"/>
    <w:rsid w:val="00B65542"/>
    <w:rsid w:val="00B74EC1"/>
    <w:rsid w:val="00BA075C"/>
    <w:rsid w:val="00BA56C8"/>
    <w:rsid w:val="00BC470D"/>
    <w:rsid w:val="00BE01C0"/>
    <w:rsid w:val="00BE1E7A"/>
    <w:rsid w:val="00BE5CC7"/>
    <w:rsid w:val="00BE60B4"/>
    <w:rsid w:val="00C210F5"/>
    <w:rsid w:val="00C522EF"/>
    <w:rsid w:val="00CA2468"/>
    <w:rsid w:val="00CC4097"/>
    <w:rsid w:val="00CC5B8D"/>
    <w:rsid w:val="00CD60B3"/>
    <w:rsid w:val="00D2137F"/>
    <w:rsid w:val="00D21560"/>
    <w:rsid w:val="00D3087C"/>
    <w:rsid w:val="00D7156D"/>
    <w:rsid w:val="00D81108"/>
    <w:rsid w:val="00D8124B"/>
    <w:rsid w:val="00D96E15"/>
    <w:rsid w:val="00DA28E3"/>
    <w:rsid w:val="00DC1AA6"/>
    <w:rsid w:val="00DC676D"/>
    <w:rsid w:val="00DF0171"/>
    <w:rsid w:val="00DF10DC"/>
    <w:rsid w:val="00E00CD1"/>
    <w:rsid w:val="00E363C5"/>
    <w:rsid w:val="00E36902"/>
    <w:rsid w:val="00E36FA1"/>
    <w:rsid w:val="00E70412"/>
    <w:rsid w:val="00E73CD7"/>
    <w:rsid w:val="00E76954"/>
    <w:rsid w:val="00E80C41"/>
    <w:rsid w:val="00E823F4"/>
    <w:rsid w:val="00EB21B5"/>
    <w:rsid w:val="00EB7E32"/>
    <w:rsid w:val="00EC3027"/>
    <w:rsid w:val="00EC4B34"/>
    <w:rsid w:val="00ED150E"/>
    <w:rsid w:val="00ED6967"/>
    <w:rsid w:val="00EE4B2F"/>
    <w:rsid w:val="00EF6205"/>
    <w:rsid w:val="00F1085F"/>
    <w:rsid w:val="00F12CED"/>
    <w:rsid w:val="00F6528C"/>
    <w:rsid w:val="00F65747"/>
    <w:rsid w:val="00F81C27"/>
    <w:rsid w:val="00F851C3"/>
    <w:rsid w:val="00F90FDC"/>
    <w:rsid w:val="00FC2A9F"/>
    <w:rsid w:val="00FD080D"/>
    <w:rsid w:val="00FD35F2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8B1"/>
  <w15:docId w15:val="{E823990E-0BE2-4BE6-9634-0E21A0A3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  <w:style w:type="paragraph" w:styleId="Buborkszveg">
    <w:name w:val="Balloon Text"/>
    <w:basedOn w:val="Norml"/>
    <w:link w:val="BuborkszvegChar"/>
    <w:uiPriority w:val="99"/>
    <w:semiHidden/>
    <w:unhideWhenUsed/>
    <w:rsid w:val="004A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vonkph@tiszavasvari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Ládi Zsanett</cp:lastModifiedBy>
  <cp:revision>3</cp:revision>
  <cp:lastPrinted>2020-04-21T10:42:00Z</cp:lastPrinted>
  <dcterms:created xsi:type="dcterms:W3CDTF">2020-06-12T07:36:00Z</dcterms:created>
  <dcterms:modified xsi:type="dcterms:W3CDTF">2020-07-07T07:53:00Z</dcterms:modified>
</cp:coreProperties>
</file>